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FA1AC" w14:textId="77777777" w:rsidR="008C5E97" w:rsidRDefault="00896F58">
      <w:pPr>
        <w:jc w:val="center"/>
        <w:rPr>
          <w:sz w:val="22"/>
        </w:rPr>
      </w:pPr>
      <w:r>
        <w:rPr>
          <w:sz w:val="22"/>
          <w:lang w:val="es-ES_tradnl"/>
        </w:rPr>
        <w:t xml:space="preserve">TRIBUNAL DE DISTRITO DE LOS ESTADOS UNIDOS </w:t>
      </w:r>
    </w:p>
    <w:p w14:paraId="0879F5FD" w14:textId="77777777" w:rsidR="008C5E97" w:rsidRDefault="00896F58">
      <w:pPr>
        <w:jc w:val="center"/>
        <w:rPr>
          <w:sz w:val="22"/>
        </w:rPr>
      </w:pPr>
      <w:r>
        <w:rPr>
          <w:sz w:val="22"/>
          <w:lang w:val="es-ES_tradnl"/>
        </w:rPr>
        <w:t>DISTRITO OESTE DE WASHINGTON</w:t>
      </w:r>
    </w:p>
    <w:p w14:paraId="49DEAEB8" w14:textId="77777777" w:rsidR="008C5E97" w:rsidRDefault="008C5E97">
      <w:pPr>
        <w:jc w:val="center"/>
        <w:rPr>
          <w:sz w:val="22"/>
        </w:rPr>
      </w:pPr>
    </w:p>
    <w:p w14:paraId="7EE1B171" w14:textId="77777777" w:rsidR="008C5E97" w:rsidRDefault="00896F58">
      <w:pPr>
        <w:jc w:val="center"/>
        <w:rPr>
          <w:b/>
          <w:sz w:val="36"/>
          <w:szCs w:val="40"/>
        </w:rPr>
      </w:pPr>
      <w:r>
        <w:rPr>
          <w:b/>
          <w:bCs/>
          <w:sz w:val="36"/>
          <w:szCs w:val="40"/>
          <w:lang w:val="es-ES_tradnl"/>
        </w:rPr>
        <w:t xml:space="preserve">Si usted participó en el </w:t>
      </w:r>
      <w:r>
        <w:rPr>
          <w:b/>
          <w:bCs/>
          <w:sz w:val="36"/>
          <w:szCs w:val="40"/>
          <w:lang w:val="es-ES_tradnl"/>
        </w:rPr>
        <w:br/>
        <w:t xml:space="preserve">Programa de trabajo voluntario en el </w:t>
      </w:r>
      <w:proofErr w:type="spellStart"/>
      <w:r>
        <w:rPr>
          <w:b/>
          <w:bCs/>
          <w:sz w:val="36"/>
          <w:szCs w:val="40"/>
          <w:lang w:val="es-ES_tradnl"/>
        </w:rPr>
        <w:t>Northwest</w:t>
      </w:r>
      <w:proofErr w:type="spellEnd"/>
      <w:r>
        <w:rPr>
          <w:b/>
          <w:bCs/>
          <w:sz w:val="36"/>
          <w:szCs w:val="40"/>
          <w:lang w:val="es-ES_tradnl"/>
        </w:rPr>
        <w:t xml:space="preserve"> </w:t>
      </w:r>
      <w:proofErr w:type="spellStart"/>
      <w:r>
        <w:rPr>
          <w:b/>
          <w:bCs/>
          <w:sz w:val="36"/>
          <w:szCs w:val="40"/>
          <w:lang w:val="es-ES_tradnl"/>
        </w:rPr>
        <w:t>Detention</w:t>
      </w:r>
      <w:proofErr w:type="spellEnd"/>
      <w:r>
        <w:rPr>
          <w:b/>
          <w:bCs/>
          <w:sz w:val="36"/>
          <w:szCs w:val="40"/>
          <w:lang w:val="es-ES_tradnl"/>
        </w:rPr>
        <w:t xml:space="preserve"> Center, </w:t>
      </w:r>
      <w:r>
        <w:rPr>
          <w:b/>
          <w:bCs/>
          <w:sz w:val="36"/>
          <w:szCs w:val="40"/>
          <w:lang w:val="es-ES_tradnl"/>
        </w:rPr>
        <w:br/>
        <w:t>es posible que una demanda colectiva afecte sus derechos</w:t>
      </w:r>
    </w:p>
    <w:p w14:paraId="33612BC5" w14:textId="77777777" w:rsidR="008C5E97" w:rsidRDefault="008C5E97">
      <w:pPr>
        <w:jc w:val="center"/>
        <w:rPr>
          <w:b/>
          <w:sz w:val="22"/>
        </w:rPr>
      </w:pPr>
    </w:p>
    <w:p w14:paraId="31D8F7D0" w14:textId="77777777" w:rsidR="008C5E97" w:rsidRDefault="00896F58">
      <w:pPr>
        <w:pStyle w:val="BodyText"/>
        <w:spacing w:after="0"/>
        <w:jc w:val="center"/>
        <w:rPr>
          <w:i/>
          <w:sz w:val="22"/>
        </w:rPr>
      </w:pPr>
      <w:r>
        <w:rPr>
          <w:i/>
          <w:iCs/>
          <w:sz w:val="22"/>
          <w:lang w:val="es-ES_tradnl"/>
        </w:rPr>
        <w:t>Un tribunal autorizó este aviso. El presente no es una promoción por parte de un abogado.</w:t>
      </w:r>
    </w:p>
    <w:p w14:paraId="6BA7B8D5" w14:textId="77777777" w:rsidR="008C5E97" w:rsidRDefault="008C5E97">
      <w:pPr>
        <w:rPr>
          <w:sz w:val="22"/>
        </w:rPr>
      </w:pPr>
    </w:p>
    <w:p w14:paraId="1C6AAE27" w14:textId="77777777" w:rsidR="008C5E97" w:rsidRDefault="00896F58">
      <w:pPr>
        <w:pStyle w:val="ListParagraph"/>
        <w:numPr>
          <w:ilvl w:val="0"/>
          <w:numId w:val="11"/>
        </w:numPr>
        <w:contextualSpacing w:val="0"/>
        <w:rPr>
          <w:sz w:val="22"/>
        </w:rPr>
      </w:pPr>
      <w:r>
        <w:rPr>
          <w:sz w:val="22"/>
          <w:lang w:val="es-ES_tradnl"/>
        </w:rPr>
        <w:t xml:space="preserve">Las personas que participaron en el Programa de trabajo voluntario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en Tacoma, Washington, han demandado a The GEO </w:t>
      </w:r>
      <w:proofErr w:type="spellStart"/>
      <w:r>
        <w:rPr>
          <w:sz w:val="22"/>
          <w:lang w:val="es-ES_tradnl"/>
        </w:rPr>
        <w:t>Group</w:t>
      </w:r>
      <w:proofErr w:type="spellEnd"/>
      <w:r>
        <w:rPr>
          <w:sz w:val="22"/>
          <w:lang w:val="es-ES_tradnl"/>
        </w:rPr>
        <w:t>, Inc., alegando que GEO violó la ley al no pagarle a los trabajadores el salario mínimo en virtud de la ley de Washington.  GEO rechaza los alegatos establecidos en el litigio y niega haber hecho algo incorrecto.</w:t>
      </w:r>
    </w:p>
    <w:p w14:paraId="43A7E1DD" w14:textId="77777777" w:rsidR="008C5E97" w:rsidRDefault="008C5E97">
      <w:pPr>
        <w:pStyle w:val="ListParagraph"/>
        <w:contextualSpacing w:val="0"/>
        <w:rPr>
          <w:sz w:val="22"/>
        </w:rPr>
      </w:pPr>
    </w:p>
    <w:p w14:paraId="1A90B101" w14:textId="77777777" w:rsidR="008C5E97" w:rsidRDefault="00896F58">
      <w:pPr>
        <w:pStyle w:val="ListParagraph"/>
        <w:numPr>
          <w:ilvl w:val="0"/>
          <w:numId w:val="11"/>
        </w:numPr>
        <w:contextualSpacing w:val="0"/>
        <w:rPr>
          <w:sz w:val="22"/>
        </w:rPr>
      </w:pPr>
      <w:r>
        <w:rPr>
          <w:sz w:val="22"/>
          <w:lang w:val="es-ES_tradnl"/>
        </w:rPr>
        <w:t xml:space="preserve">El Tribunal ha permitido que el litigio sea una demanda colectiva en nombre de todas las personas detenidas que participaron en el Programa de trabajo voluntario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en algún momento a partir del 26 de septiembre de 2014.</w:t>
      </w:r>
    </w:p>
    <w:p w14:paraId="3BE34569" w14:textId="77777777" w:rsidR="008C5E97" w:rsidRDefault="008C5E97">
      <w:pPr>
        <w:pStyle w:val="ListParagraph"/>
        <w:contextualSpacing w:val="0"/>
        <w:rPr>
          <w:sz w:val="22"/>
        </w:rPr>
      </w:pPr>
    </w:p>
    <w:p w14:paraId="18EAA304" w14:textId="77777777" w:rsidR="008C5E97" w:rsidRDefault="00896F58">
      <w:pPr>
        <w:pStyle w:val="ListParagraph"/>
        <w:numPr>
          <w:ilvl w:val="0"/>
          <w:numId w:val="11"/>
        </w:numPr>
        <w:contextualSpacing w:val="0"/>
        <w:rPr>
          <w:sz w:val="22"/>
        </w:rPr>
      </w:pPr>
      <w:r>
        <w:rPr>
          <w:sz w:val="22"/>
          <w:lang w:val="es-ES_tradnl"/>
        </w:rPr>
        <w:t>El Tribunal no ha decidido si GEO cometió un acto ilícito. No hay ninguna suma de dinero disponible ahora ni existe garantía de que la habrá. Sin embargo, sus derechos legales están afectados y usted tiene que elegir ahora.</w:t>
      </w:r>
    </w:p>
    <w:p w14:paraId="7C7C8A12" w14:textId="77777777" w:rsidR="008C5E97" w:rsidRDefault="008C5E97">
      <w:pPr>
        <w:rPr>
          <w:sz w:val="22"/>
        </w:rPr>
      </w:pPr>
    </w:p>
    <w:tbl>
      <w:tblPr>
        <w:tblStyle w:val="LightList"/>
        <w:tblW w:w="9360" w:type="dxa"/>
        <w:jc w:val="center"/>
        <w:tblCellMar>
          <w:top w:w="115" w:type="dxa"/>
          <w:left w:w="115" w:type="dxa"/>
          <w:bottom w:w="115" w:type="dxa"/>
          <w:right w:w="115" w:type="dxa"/>
        </w:tblCellMar>
        <w:tblLook w:val="04A0" w:firstRow="1" w:lastRow="0" w:firstColumn="1" w:lastColumn="0" w:noHBand="0" w:noVBand="1"/>
      </w:tblPr>
      <w:tblGrid>
        <w:gridCol w:w="2736"/>
        <w:gridCol w:w="6624"/>
      </w:tblGrid>
      <w:tr w:rsidR="008C5E97" w14:paraId="681EC3C6" w14:textId="77777777" w:rsidTr="008C5E9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8" w:space="0" w:color="000000" w:themeColor="text1"/>
              <w:bottom w:val="nil"/>
            </w:tcBorders>
            <w:shd w:val="clear" w:color="auto" w:fill="595959" w:themeFill="text1" w:themeFillTint="A6"/>
            <w:tcMar>
              <w:left w:w="144" w:type="dxa"/>
              <w:right w:w="144" w:type="dxa"/>
            </w:tcMar>
          </w:tcPr>
          <w:p w14:paraId="50C9C887" w14:textId="77777777" w:rsidR="008C5E97" w:rsidRDefault="00896F58">
            <w:pPr>
              <w:pStyle w:val="BodyText"/>
              <w:spacing w:after="0"/>
              <w:ind w:left="108" w:hanging="108"/>
              <w:jc w:val="center"/>
              <w:rPr>
                <w:b w:val="0"/>
                <w:bCs w:val="0"/>
                <w:smallCaps/>
                <w:sz w:val="28"/>
                <w:szCs w:val="32"/>
              </w:rPr>
            </w:pPr>
            <w:r>
              <w:rPr>
                <w:smallCaps/>
                <w:color w:val="FFFFFF"/>
                <w:sz w:val="28"/>
                <w:szCs w:val="32"/>
                <w:lang w:val="es-ES_tradnl"/>
              </w:rPr>
              <w:t>Sus derechos legales y opciones en este litigio</w:t>
            </w:r>
          </w:p>
        </w:tc>
      </w:tr>
      <w:tr w:rsidR="008C5E97" w14:paraId="0B293F85" w14:textId="77777777" w:rsidTr="008C5E9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36" w:type="dxa"/>
            <w:tcBorders>
              <w:top w:val="nil"/>
            </w:tcBorders>
            <w:shd w:val="clear" w:color="auto" w:fill="BFBFBF" w:themeFill="background1" w:themeFillShade="BF"/>
            <w:tcMar>
              <w:left w:w="144" w:type="dxa"/>
              <w:right w:w="144" w:type="dxa"/>
            </w:tcMar>
          </w:tcPr>
          <w:p w14:paraId="7F496FDF" w14:textId="77777777" w:rsidR="008C5E97" w:rsidRDefault="00896F58">
            <w:pPr>
              <w:pStyle w:val="BodyText"/>
              <w:spacing w:after="0"/>
              <w:jc w:val="left"/>
              <w:rPr>
                <w:b w:val="0"/>
                <w:bCs w:val="0"/>
                <w:smallCaps/>
                <w:szCs w:val="28"/>
              </w:rPr>
            </w:pPr>
            <w:r>
              <w:rPr>
                <w:smallCaps/>
                <w:szCs w:val="28"/>
                <w:lang w:val="es-ES_tradnl"/>
              </w:rPr>
              <w:t>No hacer nada</w:t>
            </w:r>
          </w:p>
        </w:tc>
        <w:tc>
          <w:tcPr>
            <w:tcW w:w="6624" w:type="dxa"/>
            <w:tcBorders>
              <w:top w:val="nil"/>
            </w:tcBorders>
            <w:tcMar>
              <w:left w:w="144" w:type="dxa"/>
              <w:right w:w="144" w:type="dxa"/>
            </w:tcMar>
          </w:tcPr>
          <w:p w14:paraId="3F55C243" w14:textId="77777777" w:rsidR="008C5E97" w:rsidRDefault="00896F58">
            <w:pPr>
              <w:pStyle w:val="BodyText"/>
              <w:spacing w:after="0"/>
              <w:cnfStyle w:val="000000100000" w:firstRow="0" w:lastRow="0" w:firstColumn="0" w:lastColumn="0" w:oddVBand="0" w:evenVBand="0" w:oddHBand="1" w:evenHBand="0" w:firstRowFirstColumn="0" w:firstRowLastColumn="0" w:lastRowFirstColumn="0" w:lastRowLastColumn="0"/>
              <w:rPr>
                <w:b/>
                <w:sz w:val="22"/>
              </w:rPr>
            </w:pPr>
            <w:r>
              <w:rPr>
                <w:b/>
                <w:bCs/>
                <w:sz w:val="22"/>
                <w:lang w:val="es-ES_tradnl"/>
              </w:rPr>
              <w:t>Permanece en este litigio. Espera el resultado. Renuncia a ciertos derechos.</w:t>
            </w:r>
          </w:p>
          <w:p w14:paraId="580A4EBE" w14:textId="77777777" w:rsidR="008C5E97" w:rsidRDefault="008C5E97">
            <w:pPr>
              <w:pStyle w:val="BodyText"/>
              <w:spacing w:after="0"/>
              <w:cnfStyle w:val="000000100000" w:firstRow="0" w:lastRow="0" w:firstColumn="0" w:lastColumn="0" w:oddVBand="0" w:evenVBand="0" w:oddHBand="1" w:evenHBand="0" w:firstRowFirstColumn="0" w:firstRowLastColumn="0" w:lastRowFirstColumn="0" w:lastRowLastColumn="0"/>
              <w:rPr>
                <w:sz w:val="22"/>
              </w:rPr>
            </w:pPr>
          </w:p>
          <w:p w14:paraId="1E7BB707" w14:textId="77777777" w:rsidR="008C5E97" w:rsidRDefault="00896F58">
            <w:pPr>
              <w:pStyle w:val="BodyText"/>
              <w:spacing w:after="0"/>
              <w:cnfStyle w:val="000000100000" w:firstRow="0" w:lastRow="0" w:firstColumn="0" w:lastColumn="0" w:oddVBand="0" w:evenVBand="0" w:oddHBand="1" w:evenHBand="0" w:firstRowFirstColumn="0" w:firstRowLastColumn="0" w:lastRowFirstColumn="0" w:lastRowLastColumn="0"/>
              <w:rPr>
                <w:sz w:val="22"/>
              </w:rPr>
            </w:pPr>
            <w:r>
              <w:rPr>
                <w:sz w:val="22"/>
                <w:lang w:val="es-ES_tradnl"/>
              </w:rPr>
              <w:t xml:space="preserve">Al no hacer nada, conserva la posibilidad de obtener dinero o beneficios que podrían surgir de un juicio o de un acuerdo. No obstante, renuncia a sus derechos a demandar a GEO por su cuenta con respecto a los mismos reclamos legales de este litigio.  </w:t>
            </w:r>
          </w:p>
        </w:tc>
      </w:tr>
      <w:tr w:rsidR="008C5E97" w14:paraId="543CF318" w14:textId="77777777" w:rsidTr="008C5E97">
        <w:trPr>
          <w:jc w:val="center"/>
        </w:trPr>
        <w:tc>
          <w:tcPr>
            <w:cnfStyle w:val="001000000000" w:firstRow="0" w:lastRow="0" w:firstColumn="1" w:lastColumn="0" w:oddVBand="0" w:evenVBand="0" w:oddHBand="0" w:evenHBand="0" w:firstRowFirstColumn="0" w:firstRowLastColumn="0" w:lastRowFirstColumn="0" w:lastRowLastColumn="0"/>
            <w:tcW w:w="2736" w:type="dxa"/>
            <w:tcBorders>
              <w:top w:val="single" w:sz="8" w:space="0" w:color="000000" w:themeColor="text1"/>
              <w:bottom w:val="single" w:sz="8" w:space="0" w:color="000000" w:themeColor="text1"/>
            </w:tcBorders>
            <w:shd w:val="clear" w:color="auto" w:fill="BFBFBF" w:themeFill="background1" w:themeFillShade="BF"/>
            <w:tcMar>
              <w:left w:w="144" w:type="dxa"/>
              <w:right w:w="144" w:type="dxa"/>
            </w:tcMar>
          </w:tcPr>
          <w:p w14:paraId="487678BA" w14:textId="77777777" w:rsidR="008C5E97" w:rsidRDefault="00896F58">
            <w:pPr>
              <w:pStyle w:val="BodyText"/>
              <w:spacing w:after="0"/>
              <w:jc w:val="left"/>
              <w:rPr>
                <w:b w:val="0"/>
                <w:bCs w:val="0"/>
                <w:smallCaps/>
                <w:szCs w:val="28"/>
              </w:rPr>
            </w:pPr>
            <w:r>
              <w:rPr>
                <w:smallCaps/>
                <w:szCs w:val="28"/>
                <w:lang w:val="es-ES_tradnl"/>
              </w:rPr>
              <w:t>Solicitar que lo excluyan</w:t>
            </w:r>
          </w:p>
        </w:tc>
        <w:tc>
          <w:tcPr>
            <w:tcW w:w="6624" w:type="dxa"/>
            <w:tcMar>
              <w:left w:w="144" w:type="dxa"/>
              <w:right w:w="144" w:type="dxa"/>
            </w:tcMar>
          </w:tcPr>
          <w:p w14:paraId="0402663E" w14:textId="77777777" w:rsidR="008C5E97" w:rsidRDefault="00896F58">
            <w:pPr>
              <w:pStyle w:val="BodyText"/>
              <w:spacing w:after="0"/>
              <w:cnfStyle w:val="000000000000" w:firstRow="0" w:lastRow="0" w:firstColumn="0" w:lastColumn="0" w:oddVBand="0" w:evenVBand="0" w:oddHBand="0" w:evenHBand="0" w:firstRowFirstColumn="0" w:firstRowLastColumn="0" w:lastRowFirstColumn="0" w:lastRowLastColumn="0"/>
              <w:rPr>
                <w:b/>
                <w:sz w:val="22"/>
              </w:rPr>
            </w:pPr>
            <w:r>
              <w:rPr>
                <w:b/>
                <w:bCs/>
                <w:sz w:val="22"/>
                <w:lang w:val="es-ES_tradnl"/>
              </w:rPr>
              <w:t xml:space="preserve">Sale de este litigio. No obtiene ningún beneficio de esto. Conserva sus derechos. </w:t>
            </w:r>
          </w:p>
          <w:p w14:paraId="6B1916DD" w14:textId="77777777" w:rsidR="008C5E97" w:rsidRDefault="008C5E97">
            <w:pPr>
              <w:pStyle w:val="BodyText"/>
              <w:spacing w:after="0"/>
              <w:cnfStyle w:val="000000000000" w:firstRow="0" w:lastRow="0" w:firstColumn="0" w:lastColumn="0" w:oddVBand="0" w:evenVBand="0" w:oddHBand="0" w:evenHBand="0" w:firstRowFirstColumn="0" w:firstRowLastColumn="0" w:lastRowFirstColumn="0" w:lastRowLastColumn="0"/>
              <w:rPr>
                <w:b/>
                <w:sz w:val="22"/>
              </w:rPr>
            </w:pPr>
          </w:p>
          <w:p w14:paraId="3C8EFAEC" w14:textId="77777777" w:rsidR="008C5E97" w:rsidRDefault="00896F58">
            <w:pPr>
              <w:pStyle w:val="BodyText"/>
              <w:spacing w:after="0"/>
              <w:cnfStyle w:val="000000000000" w:firstRow="0" w:lastRow="0" w:firstColumn="0" w:lastColumn="0" w:oddVBand="0" w:evenVBand="0" w:oddHBand="0" w:evenHBand="0" w:firstRowFirstColumn="0" w:firstRowLastColumn="0" w:lastRowFirstColumn="0" w:lastRowLastColumn="0"/>
              <w:rPr>
                <w:sz w:val="22"/>
              </w:rPr>
            </w:pPr>
            <w:r>
              <w:rPr>
                <w:sz w:val="22"/>
                <w:lang w:val="es-ES_tradnl"/>
              </w:rPr>
              <w:t>Si solicita que lo excluyan y luego se otorgan beneficios o dinero, no obtendrá una parte de esto. No obstante, mantiene sus derechos a demandar a GEO por su cuenta con respecto a los mismos reclamos legales de esta demanda.</w:t>
            </w:r>
          </w:p>
        </w:tc>
      </w:tr>
    </w:tbl>
    <w:p w14:paraId="4146C4DF" w14:textId="77777777" w:rsidR="008C5E97" w:rsidRDefault="00896F58">
      <w:pPr>
        <w:rPr>
          <w:sz w:val="22"/>
        </w:rPr>
      </w:pPr>
      <w:r>
        <w:rPr>
          <w:sz w:val="22"/>
        </w:rPr>
        <w:t xml:space="preserve"> </w:t>
      </w:r>
    </w:p>
    <w:p w14:paraId="52FB8118" w14:textId="77777777" w:rsidR="008C5E97" w:rsidRDefault="00896F58">
      <w:pPr>
        <w:pStyle w:val="ListParagraph"/>
        <w:numPr>
          <w:ilvl w:val="0"/>
          <w:numId w:val="12"/>
        </w:numPr>
        <w:contextualSpacing w:val="0"/>
        <w:rPr>
          <w:sz w:val="22"/>
        </w:rPr>
      </w:pPr>
      <w:r>
        <w:rPr>
          <w:sz w:val="22"/>
          <w:lang w:val="es-ES_tradnl"/>
        </w:rPr>
        <w:t xml:space="preserve">En este aviso se explican sus </w:t>
      </w:r>
      <w:proofErr w:type="gramStart"/>
      <w:r>
        <w:rPr>
          <w:sz w:val="22"/>
          <w:lang w:val="es-ES_tradnl"/>
        </w:rPr>
        <w:t>opciones .</w:t>
      </w:r>
      <w:proofErr w:type="gramEnd"/>
      <w:r>
        <w:rPr>
          <w:sz w:val="22"/>
          <w:lang w:val="es-ES_tradnl"/>
        </w:rPr>
        <w:t xml:space="preserve"> Para solicitar que lo excluyan, debe actuar antes del </w:t>
      </w:r>
      <w:r>
        <w:rPr>
          <w:b/>
          <w:bCs/>
          <w:sz w:val="22"/>
          <w:lang w:val="es-ES_tradnl"/>
        </w:rPr>
        <w:t>24 de marzo de 2020</w:t>
      </w:r>
      <w:r>
        <w:rPr>
          <w:sz w:val="22"/>
          <w:lang w:val="es-ES_tradnl"/>
        </w:rPr>
        <w:t>.</w:t>
      </w:r>
    </w:p>
    <w:p w14:paraId="159446A5" w14:textId="77777777" w:rsidR="008C5E97" w:rsidRDefault="008C5E97">
      <w:pPr>
        <w:pStyle w:val="ListParagraph"/>
        <w:contextualSpacing w:val="0"/>
        <w:rPr>
          <w:sz w:val="22"/>
        </w:rPr>
      </w:pPr>
    </w:p>
    <w:p w14:paraId="7466E202" w14:textId="77777777" w:rsidR="008C5E97" w:rsidRDefault="00896F58">
      <w:pPr>
        <w:pStyle w:val="ListParagraph"/>
        <w:numPr>
          <w:ilvl w:val="0"/>
          <w:numId w:val="12"/>
        </w:numPr>
        <w:contextualSpacing w:val="0"/>
        <w:rPr>
          <w:sz w:val="22"/>
        </w:rPr>
      </w:pPr>
      <w:r>
        <w:rPr>
          <w:sz w:val="22"/>
          <w:lang w:val="es-ES_tradnl"/>
        </w:rPr>
        <w:t>Los abogados deben probar sus reclamaciones contra GEO en un juicio. Si se obtiene dinero o beneficios de GEO, se le notificará acerca de cómo recibir su parte.</w:t>
      </w:r>
    </w:p>
    <w:p w14:paraId="29F95E2A" w14:textId="77777777" w:rsidR="008C5E97" w:rsidRDefault="008C5E97">
      <w:pPr>
        <w:pStyle w:val="ListParagraph"/>
        <w:contextualSpacing w:val="0"/>
        <w:rPr>
          <w:sz w:val="22"/>
        </w:rPr>
      </w:pPr>
    </w:p>
    <w:p w14:paraId="5E9E396A" w14:textId="77777777" w:rsidR="008C5E97" w:rsidRDefault="00896F58">
      <w:pPr>
        <w:pStyle w:val="ListParagraph"/>
        <w:numPr>
          <w:ilvl w:val="0"/>
          <w:numId w:val="12"/>
        </w:numPr>
        <w:contextualSpacing w:val="0"/>
        <w:rPr>
          <w:sz w:val="22"/>
        </w:rPr>
      </w:pPr>
      <w:r>
        <w:rPr>
          <w:sz w:val="22"/>
          <w:lang w:val="es-ES_tradnl"/>
        </w:rPr>
        <w:t>¿Alguna pregunta? Lea y visite www.</w:t>
      </w:r>
      <w:bookmarkStart w:id="0" w:name="_Hlk30599364"/>
      <w:r>
        <w:rPr>
          <w:sz w:val="22"/>
          <w:lang w:val="es-ES_tradnl"/>
        </w:rPr>
        <w:t>vwpclassaction</w:t>
      </w:r>
      <w:bookmarkEnd w:id="0"/>
      <w:r>
        <w:rPr>
          <w:sz w:val="22"/>
          <w:lang w:val="es-ES_tradnl"/>
        </w:rPr>
        <w:t>.com.</w:t>
      </w:r>
      <w:r>
        <w:rPr>
          <w:sz w:val="22"/>
          <w:lang w:val="es-ES_tradnl"/>
        </w:rP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594C5A4E"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vAlign w:val="center"/>
          </w:tcPr>
          <w:p w14:paraId="770D6E46" w14:textId="77777777" w:rsidR="008C5E97" w:rsidRDefault="00896F58">
            <w:pPr>
              <w:pStyle w:val="BodyText"/>
              <w:spacing w:after="0"/>
              <w:ind w:left="288" w:hanging="288"/>
              <w:jc w:val="left"/>
              <w:rPr>
                <w:b w:val="0"/>
                <w:bCs w:val="0"/>
                <w:sz w:val="22"/>
              </w:rPr>
            </w:pPr>
            <w:r>
              <w:rPr>
                <w:color w:val="FFFFFF"/>
                <w:sz w:val="22"/>
                <w:lang w:val="es-ES_tradnl"/>
              </w:rPr>
              <w:lastRenderedPageBreak/>
              <w:t>1. ¿De qué se trata este Aviso?</w:t>
            </w:r>
          </w:p>
        </w:tc>
      </w:tr>
    </w:tbl>
    <w:p w14:paraId="61314B4F" w14:textId="77777777" w:rsidR="008C5E97" w:rsidRDefault="008C5E97">
      <w:pPr>
        <w:ind w:firstLine="720"/>
        <w:rPr>
          <w:sz w:val="22"/>
        </w:rPr>
      </w:pPr>
    </w:p>
    <w:p w14:paraId="3B2301E5" w14:textId="77777777" w:rsidR="008C5E97" w:rsidRDefault="00896F58">
      <w:pPr>
        <w:rPr>
          <w:sz w:val="22"/>
        </w:rPr>
      </w:pPr>
      <w:r>
        <w:rPr>
          <w:sz w:val="22"/>
          <w:lang w:val="es-ES_tradnl"/>
        </w:rPr>
        <w:t>Usted está recibiendo este aviso porque participó en el Programa de trabajo voluntario (</w:t>
      </w:r>
      <w:proofErr w:type="spellStart"/>
      <w:r>
        <w:rPr>
          <w:sz w:val="22"/>
          <w:lang w:val="es-ES_tradnl"/>
        </w:rPr>
        <w:t>Voluntary</w:t>
      </w:r>
      <w:proofErr w:type="spellEnd"/>
      <w:r>
        <w:rPr>
          <w:sz w:val="22"/>
          <w:lang w:val="es-ES_tradnl"/>
        </w:rPr>
        <w:t xml:space="preserve"> </w:t>
      </w:r>
      <w:proofErr w:type="spellStart"/>
      <w:r>
        <w:rPr>
          <w:sz w:val="22"/>
          <w:lang w:val="es-ES_tradnl"/>
        </w:rPr>
        <w:t>Work</w:t>
      </w:r>
      <w:proofErr w:type="spellEnd"/>
      <w:r>
        <w:rPr>
          <w:sz w:val="22"/>
          <w:lang w:val="es-ES_tradnl"/>
        </w:rPr>
        <w:t xml:space="preserve"> </w:t>
      </w:r>
      <w:proofErr w:type="spellStart"/>
      <w:r>
        <w:rPr>
          <w:sz w:val="22"/>
          <w:lang w:val="es-ES_tradnl"/>
        </w:rPr>
        <w:t>Program</w:t>
      </w:r>
      <w:proofErr w:type="spellEnd"/>
      <w:r>
        <w:rPr>
          <w:sz w:val="22"/>
          <w:lang w:val="es-ES_tradnl"/>
        </w:rPr>
        <w:t xml:space="preserve"> “VWP” o “Programa de $1 por día”)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ubicado en Tacoma, Washington, en algún momento a partir del 26 de septiembre de 2014.</w:t>
      </w:r>
    </w:p>
    <w:p w14:paraId="490C931F" w14:textId="77777777" w:rsidR="008C5E97" w:rsidRDefault="008C5E97">
      <w:pPr>
        <w:tabs>
          <w:tab w:val="left" w:pos="0"/>
        </w:tabs>
        <w:suppressAutoHyphens/>
        <w:rPr>
          <w:sz w:val="22"/>
        </w:rPr>
      </w:pPr>
    </w:p>
    <w:p w14:paraId="0274D971" w14:textId="77777777" w:rsidR="008C5E97" w:rsidRDefault="00896F58">
      <w:pPr>
        <w:suppressAutoHyphens/>
        <w:rPr>
          <w:sz w:val="22"/>
        </w:rPr>
      </w:pPr>
      <w:r>
        <w:rPr>
          <w:sz w:val="22"/>
          <w:lang w:val="es-ES_tradnl"/>
        </w:rPr>
        <w:t xml:space="preserve">Un litigio contra The GEO </w:t>
      </w:r>
      <w:proofErr w:type="spellStart"/>
      <w:r>
        <w:rPr>
          <w:sz w:val="22"/>
          <w:lang w:val="es-ES_tradnl"/>
        </w:rPr>
        <w:t>Group</w:t>
      </w:r>
      <w:proofErr w:type="spellEnd"/>
      <w:r>
        <w:rPr>
          <w:sz w:val="22"/>
          <w:lang w:val="es-ES_tradnl"/>
        </w:rPr>
        <w:t xml:space="preserve">, Inc. (“GEO”) fue certificado como una demanda colectiva por el juez Robert Bryan del Tribunal de Distrito de los Estados Unidos para el Distrito Oeste de Washington. El caso se denomina </w:t>
      </w:r>
      <w:proofErr w:type="spellStart"/>
      <w:r>
        <w:rPr>
          <w:i/>
          <w:iCs/>
          <w:sz w:val="22"/>
          <w:lang w:val="es-ES_tradnl"/>
        </w:rPr>
        <w:t>Nwauzor</w:t>
      </w:r>
      <w:proofErr w:type="spellEnd"/>
      <w:r>
        <w:rPr>
          <w:i/>
          <w:iCs/>
          <w:sz w:val="22"/>
          <w:lang w:val="es-ES_tradnl"/>
        </w:rPr>
        <w:t xml:space="preserve">, et al. contra The GEO </w:t>
      </w:r>
      <w:proofErr w:type="spellStart"/>
      <w:r>
        <w:rPr>
          <w:i/>
          <w:iCs/>
          <w:sz w:val="22"/>
          <w:lang w:val="es-ES_tradnl"/>
        </w:rPr>
        <w:t>Group</w:t>
      </w:r>
      <w:proofErr w:type="spellEnd"/>
      <w:r>
        <w:rPr>
          <w:i/>
          <w:iCs/>
          <w:sz w:val="22"/>
          <w:lang w:val="es-ES_tradnl"/>
        </w:rPr>
        <w:t>, Inc.</w:t>
      </w:r>
      <w:r>
        <w:rPr>
          <w:sz w:val="22"/>
          <w:lang w:val="es-ES_tradnl"/>
        </w:rPr>
        <w:t xml:space="preserve">, n.º 17-cv-05769. Esta demanda presenta reclamaciones por pagos atrasados en virtud de la ley de salarios del estado de Washington en función de alegatos de que GEO no </w:t>
      </w:r>
      <w:proofErr w:type="gramStart"/>
      <w:r>
        <w:rPr>
          <w:sz w:val="22"/>
          <w:lang w:val="es-ES_tradnl"/>
        </w:rPr>
        <w:t>le</w:t>
      </w:r>
      <w:proofErr w:type="gramEnd"/>
      <w:r>
        <w:rPr>
          <w:sz w:val="22"/>
          <w:lang w:val="es-ES_tradnl"/>
        </w:rPr>
        <w:t xml:space="preserve"> proporcionó a los miembros del grupo certificado los salarios mínimos requeridos por la Ley de Salario Mínimo de Washington.  GEO niega los alegatos establecidos en la demanda.  </w:t>
      </w:r>
    </w:p>
    <w:p w14:paraId="57C67AF9" w14:textId="77777777" w:rsidR="008C5E97" w:rsidRDefault="008C5E97">
      <w:pPr>
        <w:suppressAutoHyphens/>
        <w:ind w:firstLine="720"/>
        <w:rPr>
          <w:sz w:val="22"/>
        </w:rPr>
      </w:pPr>
    </w:p>
    <w:p w14:paraId="746881C4" w14:textId="77777777" w:rsidR="008C5E97" w:rsidRDefault="00896F58">
      <w:pPr>
        <w:suppressAutoHyphens/>
        <w:rPr>
          <w:sz w:val="22"/>
        </w:rPr>
      </w:pPr>
      <w:r>
        <w:rPr>
          <w:sz w:val="22"/>
          <w:lang w:val="es-ES_tradnl"/>
        </w:rPr>
        <w:t xml:space="preserve">El objetivo de este aviso es informarle que fue identificado como un miembro potencial del grupo certificado. Tiene la opción de participar o no en esta demanda. Si </w:t>
      </w:r>
      <w:r>
        <w:rPr>
          <w:b/>
          <w:bCs/>
          <w:sz w:val="22"/>
          <w:u w:val="single"/>
          <w:lang w:val="es-ES_tradnl"/>
        </w:rPr>
        <w:t>desea</w:t>
      </w:r>
      <w:r>
        <w:rPr>
          <w:sz w:val="22"/>
          <w:lang w:val="es-ES_tradnl"/>
        </w:rPr>
        <w:t xml:space="preserve"> participar en la demanda, en este momento, no es necesario que haga nada más. Automáticamente formará parte del caso y obtendrá más información en el futuro. Si </w:t>
      </w:r>
      <w:r>
        <w:rPr>
          <w:b/>
          <w:bCs/>
          <w:sz w:val="22"/>
          <w:u w:val="single"/>
          <w:lang w:val="es-ES_tradnl"/>
        </w:rPr>
        <w:t>no desea</w:t>
      </w:r>
      <w:r>
        <w:rPr>
          <w:sz w:val="22"/>
          <w:lang w:val="es-ES_tradnl"/>
        </w:rPr>
        <w:t xml:space="preserve"> participar en la demanda, </w:t>
      </w:r>
      <w:r>
        <w:rPr>
          <w:b/>
          <w:bCs/>
          <w:sz w:val="22"/>
          <w:lang w:val="es-ES_tradnl"/>
        </w:rPr>
        <w:t>debe</w:t>
      </w:r>
      <w:r>
        <w:rPr>
          <w:sz w:val="22"/>
          <w:lang w:val="es-ES_tradnl"/>
        </w:rPr>
        <w:t xml:space="preserve"> enviar un formulario de Solicitud de exclusión (o un documento similar) por correo postal, correo electrónico, fax u otro método de entrega al Administrador de Avisos a las direcciones que se indican a continuación. La Solicitud de exclusión debe comunicarse por escrito y se debe entregar, transmitir o tener sello postal del </w:t>
      </w:r>
      <w:r>
        <w:rPr>
          <w:b/>
          <w:bCs/>
          <w:sz w:val="22"/>
          <w:lang w:val="es-ES_tradnl"/>
        </w:rPr>
        <w:t>24 de febrero de 2020</w:t>
      </w:r>
      <w:r>
        <w:rPr>
          <w:sz w:val="22"/>
          <w:lang w:val="es-ES_tradnl"/>
        </w:rPr>
        <w:t xml:space="preserve">. Se adjunta a este Aviso un ejemplo de formulario de Solicitud de exclusión como </w:t>
      </w:r>
      <w:r>
        <w:rPr>
          <w:b/>
          <w:bCs/>
          <w:sz w:val="22"/>
          <w:lang w:val="es-ES_tradnl"/>
        </w:rPr>
        <w:t>Anexo A</w:t>
      </w:r>
      <w:r>
        <w:rPr>
          <w:sz w:val="22"/>
          <w:lang w:val="es-ES_tradnl"/>
        </w:rPr>
        <w:t xml:space="preserve">. </w:t>
      </w:r>
    </w:p>
    <w:p w14:paraId="68472ED7"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6F30A40F"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0DDCEB04" w14:textId="77777777" w:rsidR="008C5E97" w:rsidRDefault="00896F58">
            <w:pPr>
              <w:pStyle w:val="BodyText"/>
              <w:spacing w:after="0"/>
              <w:ind w:left="288" w:hanging="288"/>
              <w:rPr>
                <w:b w:val="0"/>
                <w:bCs w:val="0"/>
                <w:sz w:val="22"/>
              </w:rPr>
            </w:pPr>
            <w:r>
              <w:rPr>
                <w:color w:val="FFFFFF"/>
                <w:sz w:val="22"/>
                <w:lang w:val="es-ES_tradnl"/>
              </w:rPr>
              <w:t xml:space="preserve">2. ¿De qué trata esta demanda? </w:t>
            </w:r>
          </w:p>
        </w:tc>
      </w:tr>
    </w:tbl>
    <w:p w14:paraId="3812C8B6" w14:textId="77777777" w:rsidR="008C5E97" w:rsidRDefault="008C5E97">
      <w:pPr>
        <w:pStyle w:val="BodyText"/>
        <w:spacing w:after="0"/>
        <w:rPr>
          <w:sz w:val="22"/>
        </w:rPr>
      </w:pPr>
    </w:p>
    <w:p w14:paraId="43AAD24C" w14:textId="77777777" w:rsidR="008C5E97" w:rsidRDefault="00896F58">
      <w:pPr>
        <w:pStyle w:val="BodyText"/>
        <w:spacing w:after="0"/>
        <w:rPr>
          <w:sz w:val="22"/>
        </w:rPr>
      </w:pPr>
      <w:r>
        <w:rPr>
          <w:sz w:val="22"/>
          <w:lang w:val="es-ES_tradnl"/>
        </w:rPr>
        <w:t xml:space="preserve">Esta demanda es acerca de si GEO, como propietario y operador del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es un “empleador” y si los Miembros del grupo son “empleados” en virtud de la Ley de Salario Mínimo de Washington. Y de ser así, si GEO infringió la Ley al no pagarles a los Miembros del grupo el salario mínimo por hora en virtud de la Ley de Washington para los trabajos realizados en virtud del Programa de $1 por día. GEO niega los alegatos establecidos en la demanda.</w:t>
      </w:r>
    </w:p>
    <w:p w14:paraId="0B5281D5"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26CCC75E"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774B8225" w14:textId="77777777" w:rsidR="008C5E97" w:rsidRDefault="00896F58">
            <w:pPr>
              <w:pStyle w:val="BodyText"/>
              <w:spacing w:after="0"/>
              <w:ind w:left="288" w:hanging="288"/>
              <w:rPr>
                <w:b w:val="0"/>
                <w:bCs w:val="0"/>
                <w:sz w:val="22"/>
              </w:rPr>
            </w:pPr>
            <w:r>
              <w:rPr>
                <w:color w:val="FFFFFF"/>
                <w:sz w:val="22"/>
                <w:lang w:val="es-ES_tradnl"/>
              </w:rPr>
              <w:t xml:space="preserve">3. ¿Qué es una demanda colectiva y quién participa? </w:t>
            </w:r>
          </w:p>
        </w:tc>
      </w:tr>
    </w:tbl>
    <w:p w14:paraId="190939CB" w14:textId="77777777" w:rsidR="008C5E97" w:rsidRDefault="008C5E97">
      <w:pPr>
        <w:pStyle w:val="BodyText"/>
        <w:spacing w:after="0"/>
        <w:rPr>
          <w:sz w:val="22"/>
        </w:rPr>
      </w:pPr>
    </w:p>
    <w:p w14:paraId="11FACFA8" w14:textId="77777777" w:rsidR="008C5E97" w:rsidRDefault="00896F58">
      <w:pPr>
        <w:pStyle w:val="BodyText"/>
        <w:spacing w:after="0"/>
        <w:rPr>
          <w:sz w:val="22"/>
        </w:rPr>
      </w:pPr>
      <w:r>
        <w:rPr>
          <w:sz w:val="22"/>
          <w:lang w:val="es-ES_tradnl"/>
        </w:rPr>
        <w:t xml:space="preserve">En una demanda colectiva, una o más personas a las que se conoce como “Representantes del grupo” (en este caso </w:t>
      </w:r>
      <w:proofErr w:type="spellStart"/>
      <w:r>
        <w:rPr>
          <w:sz w:val="22"/>
          <w:lang w:val="es-ES_tradnl"/>
        </w:rPr>
        <w:t>Ugochukwu</w:t>
      </w:r>
      <w:proofErr w:type="spellEnd"/>
      <w:r>
        <w:rPr>
          <w:sz w:val="22"/>
          <w:lang w:val="es-ES_tradnl"/>
        </w:rPr>
        <w:t xml:space="preserve"> </w:t>
      </w:r>
      <w:proofErr w:type="spellStart"/>
      <w:r>
        <w:rPr>
          <w:sz w:val="22"/>
          <w:lang w:val="es-ES_tradnl"/>
        </w:rPr>
        <w:t>Goodluck</w:t>
      </w:r>
      <w:proofErr w:type="spellEnd"/>
      <w:r>
        <w:rPr>
          <w:sz w:val="22"/>
          <w:lang w:val="es-ES_tradnl"/>
        </w:rPr>
        <w:t xml:space="preserve"> </w:t>
      </w:r>
      <w:proofErr w:type="spellStart"/>
      <w:r>
        <w:rPr>
          <w:sz w:val="22"/>
          <w:lang w:val="es-ES_tradnl"/>
        </w:rPr>
        <w:t>Nwauzor</w:t>
      </w:r>
      <w:proofErr w:type="spellEnd"/>
      <w:r>
        <w:rPr>
          <w:sz w:val="22"/>
          <w:lang w:val="es-ES_tradnl"/>
        </w:rPr>
        <w:t xml:space="preserve"> y Fernando Aguirre-Urbina) demandan en nombre de otras personas que tienen reclamaciones similares. Todas estas personas conforman un “Grupo” o son “Miembros del grupo”. Se conoce a las personas que entablaron la demanda, y a todos los Miembros del grupo como ellos, como las Demandantes. Se conoce como Demandada (en este caso GEO) a la compañía a la que demandaron. Un tribunal resuelve los problemas para todos los miembros del Grupo, excepto para aquellos que se excluyesen del Grupo. </w:t>
      </w:r>
    </w:p>
    <w:p w14:paraId="5DFD0844" w14:textId="77777777" w:rsidR="008C5E97" w:rsidRDefault="008C5E97">
      <w:pPr>
        <w:jc w:val="left"/>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73ABCC58"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4F33074C" w14:textId="77777777" w:rsidR="008C5E97" w:rsidRDefault="00896F58">
            <w:pPr>
              <w:pStyle w:val="BodyText"/>
              <w:spacing w:after="0"/>
              <w:ind w:left="288" w:hanging="288"/>
              <w:rPr>
                <w:b w:val="0"/>
                <w:bCs w:val="0"/>
                <w:sz w:val="22"/>
              </w:rPr>
            </w:pPr>
            <w:r>
              <w:rPr>
                <w:color w:val="FFFFFF"/>
                <w:sz w:val="22"/>
                <w:lang w:val="es-ES_tradnl"/>
              </w:rPr>
              <w:t xml:space="preserve">4. ¿Qué piden los Demandantes? </w:t>
            </w:r>
          </w:p>
        </w:tc>
      </w:tr>
    </w:tbl>
    <w:p w14:paraId="20CB2EBA" w14:textId="77777777" w:rsidR="008C5E97" w:rsidRDefault="008C5E97">
      <w:pPr>
        <w:pStyle w:val="BodyText"/>
        <w:spacing w:after="0"/>
        <w:rPr>
          <w:sz w:val="22"/>
        </w:rPr>
      </w:pPr>
    </w:p>
    <w:p w14:paraId="2DCC58A2" w14:textId="77777777" w:rsidR="008C5E97" w:rsidRDefault="00896F58">
      <w:pPr>
        <w:pStyle w:val="BodyText"/>
        <w:spacing w:after="0"/>
        <w:rPr>
          <w:sz w:val="22"/>
        </w:rPr>
      </w:pPr>
      <w:r>
        <w:rPr>
          <w:sz w:val="22"/>
          <w:lang w:val="es-ES_tradnl"/>
        </w:rPr>
        <w:t xml:space="preserve">Los Demandantes piden indemnización monetaria por daños y perjuicios permitida en virtud de la Ley de Salario Mínimo de Washington. </w:t>
      </w:r>
    </w:p>
    <w:p w14:paraId="13710822" w14:textId="77777777" w:rsidR="008C5E97" w:rsidRDefault="00896F58">
      <w:pPr>
        <w:jc w:val="left"/>
        <w:rPr>
          <w:sz w:val="22"/>
        </w:rPr>
      </w:pPr>
      <w:r>
        <w:rPr>
          <w:sz w:val="22"/>
        </w:rP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47213303"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7251CC8D" w14:textId="77777777" w:rsidR="008C5E97" w:rsidRDefault="00896F58">
            <w:pPr>
              <w:pStyle w:val="BodyText"/>
              <w:spacing w:after="0"/>
              <w:ind w:left="288" w:hanging="288"/>
              <w:rPr>
                <w:b w:val="0"/>
                <w:bCs w:val="0"/>
                <w:sz w:val="22"/>
              </w:rPr>
            </w:pPr>
            <w:r>
              <w:rPr>
                <w:color w:val="FFFFFF"/>
                <w:sz w:val="22"/>
                <w:lang w:val="es-ES_tradnl"/>
              </w:rPr>
              <w:lastRenderedPageBreak/>
              <w:t>5. ¿Qué dice el Demandado sobre esta demanda?</w:t>
            </w:r>
          </w:p>
        </w:tc>
      </w:tr>
    </w:tbl>
    <w:p w14:paraId="5FAEC23F" w14:textId="77777777" w:rsidR="008C5E97" w:rsidRDefault="008C5E97">
      <w:pPr>
        <w:pStyle w:val="BodyText"/>
        <w:spacing w:after="0"/>
        <w:rPr>
          <w:sz w:val="22"/>
        </w:rPr>
      </w:pPr>
    </w:p>
    <w:p w14:paraId="4E5EC1A7" w14:textId="77777777" w:rsidR="008C5E97" w:rsidRDefault="00896F58">
      <w:pPr>
        <w:pStyle w:val="BodyText"/>
        <w:spacing w:after="0"/>
        <w:rPr>
          <w:sz w:val="22"/>
        </w:rPr>
      </w:pPr>
      <w:r>
        <w:rPr>
          <w:sz w:val="22"/>
          <w:lang w:val="es-ES_tradnl"/>
        </w:rPr>
        <w:t xml:space="preserve">GEO niega haber hecho algo incorrecto y sostiene que los Demandantes no son sus “empleados” en virtud de la Ley de Washington y que no debe pagarles el salario mínimo de Washington. </w:t>
      </w:r>
    </w:p>
    <w:p w14:paraId="24380A8C"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3DCD8AEC"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14F95F66" w14:textId="77777777" w:rsidR="008C5E97" w:rsidRDefault="00896F58">
            <w:pPr>
              <w:pStyle w:val="BodyText"/>
              <w:spacing w:after="0"/>
              <w:ind w:left="288" w:hanging="288"/>
              <w:rPr>
                <w:b w:val="0"/>
                <w:bCs w:val="0"/>
                <w:sz w:val="22"/>
              </w:rPr>
            </w:pPr>
            <w:r>
              <w:rPr>
                <w:color w:val="FFFFFF"/>
                <w:sz w:val="22"/>
                <w:lang w:val="es-ES_tradnl"/>
              </w:rPr>
              <w:t>6. ¿El Tribunal ha decidido quién tiene la razón?</w:t>
            </w:r>
          </w:p>
        </w:tc>
      </w:tr>
    </w:tbl>
    <w:p w14:paraId="1157426C" w14:textId="77777777" w:rsidR="008C5E97" w:rsidRDefault="008C5E97">
      <w:pPr>
        <w:pStyle w:val="BodyText"/>
        <w:spacing w:after="0"/>
        <w:rPr>
          <w:sz w:val="22"/>
        </w:rPr>
      </w:pPr>
    </w:p>
    <w:p w14:paraId="5B9BF609" w14:textId="77777777" w:rsidR="008C5E97" w:rsidRDefault="00896F58">
      <w:pPr>
        <w:pStyle w:val="BodyText"/>
        <w:spacing w:after="0"/>
        <w:rPr>
          <w:sz w:val="22"/>
        </w:rPr>
      </w:pPr>
      <w:r>
        <w:rPr>
          <w:sz w:val="22"/>
          <w:lang w:val="es-ES_tradnl"/>
        </w:rPr>
        <w:t>El Tribunal no ha decidido si GEO o los Demandantes tienen la razón. Al establecer el Grupo y emitir este Aviso, el Tribunal no está sugiriendo que los Demandantes ganarán o perderán este caso. Los Demandantes deben probar sus reclamaciones en un juicio.</w:t>
      </w:r>
    </w:p>
    <w:p w14:paraId="093A9815"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316A9FB1"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27E904D1" w14:textId="77777777" w:rsidR="008C5E97" w:rsidRDefault="00896F58">
            <w:pPr>
              <w:pStyle w:val="BodyText"/>
              <w:spacing w:after="0"/>
              <w:ind w:left="288" w:hanging="288"/>
              <w:rPr>
                <w:b w:val="0"/>
                <w:bCs w:val="0"/>
                <w:sz w:val="22"/>
              </w:rPr>
            </w:pPr>
            <w:r>
              <w:rPr>
                <w:color w:val="FFFFFF"/>
                <w:sz w:val="22"/>
                <w:lang w:val="es-ES_tradnl"/>
              </w:rPr>
              <w:t xml:space="preserve">7. ¿Hay alguna suma de dinero disponible ahora? </w:t>
            </w:r>
          </w:p>
        </w:tc>
      </w:tr>
    </w:tbl>
    <w:p w14:paraId="627D1401" w14:textId="77777777" w:rsidR="008C5E97" w:rsidRDefault="008C5E97">
      <w:pPr>
        <w:pStyle w:val="BodyText"/>
        <w:spacing w:after="0"/>
        <w:rPr>
          <w:sz w:val="22"/>
        </w:rPr>
      </w:pPr>
    </w:p>
    <w:p w14:paraId="737547DF" w14:textId="77777777" w:rsidR="008C5E97" w:rsidRDefault="00896F58">
      <w:pPr>
        <w:pStyle w:val="BodyText"/>
        <w:spacing w:after="0"/>
        <w:rPr>
          <w:sz w:val="22"/>
        </w:rPr>
      </w:pPr>
      <w:r>
        <w:rPr>
          <w:sz w:val="22"/>
          <w:lang w:val="es-ES_tradnl"/>
        </w:rPr>
        <w:t xml:space="preserve">Ahora mismo no hay ninguna suma de dinero ni beneficios disponibles, ya que el Tribunal todavía no ha decidido si GEO hizo algo malo y ambas partes no han llegado a un acuerdo. No hay ninguna garantía de que alguna vez se obtenga dinero o beneficios. Si se obtiene, se le notificará sobre cómo solicitar su parte. </w:t>
      </w:r>
    </w:p>
    <w:p w14:paraId="75532A39"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7D3A6A7E"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1287C26C" w14:textId="77777777" w:rsidR="008C5E97" w:rsidRDefault="00896F58">
            <w:pPr>
              <w:pStyle w:val="BodyText"/>
              <w:spacing w:after="0"/>
              <w:ind w:left="288" w:hanging="288"/>
              <w:rPr>
                <w:b w:val="0"/>
                <w:bCs w:val="0"/>
                <w:sz w:val="22"/>
              </w:rPr>
            </w:pPr>
            <w:r>
              <w:rPr>
                <w:color w:val="FFFFFF"/>
                <w:sz w:val="22"/>
                <w:lang w:val="es-ES_tradnl"/>
              </w:rPr>
              <w:t xml:space="preserve">8. ¿Formo parte de este Grupo? </w:t>
            </w:r>
          </w:p>
        </w:tc>
      </w:tr>
    </w:tbl>
    <w:p w14:paraId="45146BFE" w14:textId="77777777" w:rsidR="008C5E97" w:rsidRDefault="008C5E97">
      <w:pPr>
        <w:pStyle w:val="BodyText"/>
        <w:spacing w:after="0"/>
        <w:rPr>
          <w:sz w:val="22"/>
        </w:rPr>
      </w:pPr>
    </w:p>
    <w:p w14:paraId="3B7FD1CE" w14:textId="77777777" w:rsidR="008C5E97" w:rsidRDefault="00896F58">
      <w:pPr>
        <w:pStyle w:val="BodyText"/>
        <w:spacing w:after="0"/>
        <w:rPr>
          <w:sz w:val="22"/>
        </w:rPr>
      </w:pPr>
      <w:r>
        <w:rPr>
          <w:sz w:val="22"/>
          <w:lang w:val="es-ES_tradnl"/>
        </w:rPr>
        <w:t>El juez Bryan ha decidido que las siguientes personas son miembros potenciales del grupo:</w:t>
      </w:r>
    </w:p>
    <w:p w14:paraId="31A0A035" w14:textId="77777777" w:rsidR="008C5E97" w:rsidRDefault="008C5E97">
      <w:pPr>
        <w:pStyle w:val="BodyText"/>
        <w:spacing w:after="0"/>
        <w:ind w:left="720"/>
        <w:rPr>
          <w:sz w:val="22"/>
        </w:rPr>
      </w:pPr>
    </w:p>
    <w:p w14:paraId="7A2ED8F5" w14:textId="77777777" w:rsidR="008C5E97" w:rsidRDefault="00896F58">
      <w:pPr>
        <w:pStyle w:val="BodyText"/>
        <w:spacing w:after="0"/>
        <w:ind w:left="720" w:right="720"/>
        <w:rPr>
          <w:sz w:val="22"/>
        </w:rPr>
      </w:pPr>
      <w:r>
        <w:rPr>
          <w:sz w:val="22"/>
          <w:lang w:val="es-ES_tradnl"/>
        </w:rPr>
        <w:t xml:space="preserve">Todos los inmigrantes civiles detenidos que participaron en el Programa de trabajo voluntario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en cualquier momento entre el 26 de septiembre de 2014 y la fecha de la sentencia final de este asunto.</w:t>
      </w:r>
    </w:p>
    <w:p w14:paraId="724628AF"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2766C213"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0893C12E" w14:textId="77777777" w:rsidR="008C5E97" w:rsidRDefault="00896F58">
            <w:pPr>
              <w:pStyle w:val="BodyText"/>
              <w:spacing w:after="0"/>
              <w:ind w:left="288" w:hanging="288"/>
              <w:rPr>
                <w:b w:val="0"/>
                <w:bCs w:val="0"/>
                <w:sz w:val="22"/>
              </w:rPr>
            </w:pPr>
            <w:r>
              <w:rPr>
                <w:color w:val="FFFFFF"/>
                <w:sz w:val="22"/>
                <w:lang w:val="es-ES_tradnl"/>
              </w:rPr>
              <w:t>9. ¿Hay inmigrantes civiles detenidos que no estén incluidos en el Grupo?</w:t>
            </w:r>
          </w:p>
        </w:tc>
      </w:tr>
    </w:tbl>
    <w:p w14:paraId="2C302DDE" w14:textId="77777777" w:rsidR="008C5E97" w:rsidRDefault="008C5E97">
      <w:pPr>
        <w:pStyle w:val="BodyText"/>
        <w:spacing w:after="0"/>
        <w:rPr>
          <w:sz w:val="22"/>
        </w:rPr>
      </w:pPr>
    </w:p>
    <w:p w14:paraId="4F5C64C1" w14:textId="77777777" w:rsidR="008C5E97" w:rsidRDefault="00896F58">
      <w:pPr>
        <w:pStyle w:val="BodyText"/>
        <w:spacing w:after="0"/>
        <w:rPr>
          <w:sz w:val="22"/>
        </w:rPr>
      </w:pPr>
      <w:r>
        <w:rPr>
          <w:sz w:val="22"/>
          <w:lang w:val="es-ES_tradnl"/>
        </w:rPr>
        <w:t xml:space="preserve">Si usted estuvo detenido en el </w:t>
      </w:r>
      <w:proofErr w:type="spellStart"/>
      <w:r>
        <w:rPr>
          <w:sz w:val="22"/>
          <w:lang w:val="es-ES_tradnl"/>
        </w:rPr>
        <w:t>Northwest</w:t>
      </w:r>
      <w:proofErr w:type="spellEnd"/>
      <w:r>
        <w:rPr>
          <w:sz w:val="22"/>
          <w:lang w:val="es-ES_tradnl"/>
        </w:rPr>
        <w:t xml:space="preserve"> </w:t>
      </w:r>
      <w:proofErr w:type="spellStart"/>
      <w:r>
        <w:rPr>
          <w:sz w:val="22"/>
          <w:lang w:val="es-ES_tradnl"/>
        </w:rPr>
        <w:t>Detention</w:t>
      </w:r>
      <w:proofErr w:type="spellEnd"/>
      <w:r>
        <w:rPr>
          <w:sz w:val="22"/>
          <w:lang w:val="es-ES_tradnl"/>
        </w:rPr>
        <w:t xml:space="preserve"> Center durante el período de tiempo indicado con anterioridad, pero no participó en el Programa de trabajo voluntario, usted NO es un Miembro del Grupo.</w:t>
      </w:r>
    </w:p>
    <w:p w14:paraId="2692286A"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3FD5E65A"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50253E5A" w14:textId="77777777" w:rsidR="008C5E97" w:rsidRDefault="00896F58">
            <w:pPr>
              <w:pStyle w:val="BodyText"/>
              <w:spacing w:after="0"/>
              <w:ind w:left="288" w:hanging="288"/>
              <w:rPr>
                <w:b w:val="0"/>
                <w:bCs w:val="0"/>
                <w:sz w:val="22"/>
              </w:rPr>
            </w:pPr>
            <w:r>
              <w:rPr>
                <w:color w:val="FFFFFF"/>
                <w:sz w:val="22"/>
                <w:lang w:val="es-ES_tradnl"/>
              </w:rPr>
              <w:t xml:space="preserve">10. ¿Quién representará al Grupo? </w:t>
            </w:r>
          </w:p>
        </w:tc>
      </w:tr>
    </w:tbl>
    <w:p w14:paraId="0BF2D481" w14:textId="77777777" w:rsidR="008C5E97" w:rsidRDefault="008C5E97">
      <w:pPr>
        <w:pStyle w:val="BodyText"/>
        <w:spacing w:after="0"/>
        <w:rPr>
          <w:sz w:val="22"/>
        </w:rPr>
      </w:pPr>
    </w:p>
    <w:p w14:paraId="7DCF091D" w14:textId="77777777" w:rsidR="008C5E97" w:rsidRDefault="00896F58">
      <w:pPr>
        <w:pStyle w:val="BodyText"/>
        <w:spacing w:after="0"/>
        <w:rPr>
          <w:sz w:val="22"/>
        </w:rPr>
      </w:pPr>
      <w:r>
        <w:rPr>
          <w:sz w:val="22"/>
          <w:lang w:val="es-ES_tradnl"/>
        </w:rPr>
        <w:t xml:space="preserve">El Tribunal aprobó que </w:t>
      </w:r>
      <w:proofErr w:type="spellStart"/>
      <w:r>
        <w:rPr>
          <w:sz w:val="22"/>
          <w:lang w:val="es-ES_tradnl"/>
        </w:rPr>
        <w:t>Ugochukwu</w:t>
      </w:r>
      <w:proofErr w:type="spellEnd"/>
      <w:r>
        <w:rPr>
          <w:sz w:val="22"/>
          <w:lang w:val="es-ES_tradnl"/>
        </w:rPr>
        <w:t xml:space="preserve"> </w:t>
      </w:r>
      <w:proofErr w:type="spellStart"/>
      <w:r>
        <w:rPr>
          <w:sz w:val="22"/>
          <w:lang w:val="es-ES_tradnl"/>
        </w:rPr>
        <w:t>Goodluck</w:t>
      </w:r>
      <w:proofErr w:type="spellEnd"/>
      <w:r>
        <w:rPr>
          <w:sz w:val="22"/>
          <w:lang w:val="es-ES_tradnl"/>
        </w:rPr>
        <w:t xml:space="preserve"> </w:t>
      </w:r>
      <w:proofErr w:type="spellStart"/>
      <w:r>
        <w:rPr>
          <w:sz w:val="22"/>
          <w:lang w:val="es-ES_tradnl"/>
        </w:rPr>
        <w:t>Nwauzor</w:t>
      </w:r>
      <w:proofErr w:type="spellEnd"/>
      <w:r>
        <w:rPr>
          <w:sz w:val="22"/>
          <w:lang w:val="es-ES_tradnl"/>
        </w:rPr>
        <w:t xml:space="preserve"> y Fernando Aguirre-Urbina actúen como Representantes del Grupo. El Tribunal también decidió que los bufetes de abogados </w:t>
      </w:r>
      <w:proofErr w:type="spellStart"/>
      <w:r>
        <w:rPr>
          <w:sz w:val="22"/>
          <w:lang w:val="es-ES_tradnl"/>
        </w:rPr>
        <w:t>Schroeter</w:t>
      </w:r>
      <w:proofErr w:type="spellEnd"/>
      <w:r>
        <w:rPr>
          <w:sz w:val="22"/>
          <w:lang w:val="es-ES_tradnl"/>
        </w:rPr>
        <w:t xml:space="preserve"> </w:t>
      </w:r>
      <w:proofErr w:type="spellStart"/>
      <w:r>
        <w:rPr>
          <w:sz w:val="22"/>
          <w:lang w:val="es-ES_tradnl"/>
        </w:rPr>
        <w:t>Goldmark</w:t>
      </w:r>
      <w:proofErr w:type="spellEnd"/>
      <w:r>
        <w:rPr>
          <w:sz w:val="22"/>
          <w:lang w:val="es-ES_tradnl"/>
        </w:rPr>
        <w:t xml:space="preserve"> &amp; Bender, </w:t>
      </w:r>
      <w:proofErr w:type="spellStart"/>
      <w:r>
        <w:rPr>
          <w:sz w:val="22"/>
          <w:lang w:val="es-ES_tradnl"/>
        </w:rPr>
        <w:t>Sunbird</w:t>
      </w:r>
      <w:proofErr w:type="spellEnd"/>
      <w:r>
        <w:rPr>
          <w:sz w:val="22"/>
          <w:lang w:val="es-ES_tradnl"/>
        </w:rPr>
        <w:t xml:space="preserve"> Law PLLC y </w:t>
      </w:r>
      <w:proofErr w:type="spellStart"/>
      <w:r>
        <w:rPr>
          <w:sz w:val="22"/>
          <w:lang w:val="es-ES_tradnl"/>
        </w:rPr>
        <w:t>Menter</w:t>
      </w:r>
      <w:proofErr w:type="spellEnd"/>
      <w:r>
        <w:rPr>
          <w:sz w:val="22"/>
          <w:lang w:val="es-ES_tradnl"/>
        </w:rPr>
        <w:t xml:space="preserve"> </w:t>
      </w:r>
      <w:proofErr w:type="spellStart"/>
      <w:r>
        <w:rPr>
          <w:sz w:val="22"/>
          <w:lang w:val="es-ES_tradnl"/>
        </w:rPr>
        <w:t>Immigration</w:t>
      </w:r>
      <w:proofErr w:type="spellEnd"/>
      <w:r>
        <w:rPr>
          <w:sz w:val="22"/>
          <w:lang w:val="es-ES_tradnl"/>
        </w:rPr>
        <w:t xml:space="preserve"> Law PLLC de Seattle, WA y el estudio jurídico de R. Andrew Free de Nashville, TN, están calificados para representarlo a usted y a todos los Miembros del Grupo. Estos bufetes, en conjunto, se denominan los “Abogados del grupo”. Tienen experiencia en el manejo de casos similares. Para obtener más información sobre estos bufetes, sus prácticas y la experiencia de sus abogados, visite www.sgb-law.com, www.meenamenter.com y www.immigrantcivilrights.com. </w:t>
      </w:r>
    </w:p>
    <w:p w14:paraId="0A9D9CD8" w14:textId="77777777" w:rsidR="008C5E97" w:rsidRDefault="00896F58">
      <w:pPr>
        <w:jc w:val="left"/>
        <w:rPr>
          <w:sz w:val="22"/>
        </w:rPr>
      </w:pPr>
      <w:r>
        <w:rPr>
          <w:sz w:val="22"/>
        </w:rPr>
        <w:br w:type="page"/>
      </w: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3EC2D874"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5B96AEF5" w14:textId="77777777" w:rsidR="008C5E97" w:rsidRDefault="00896F58">
            <w:pPr>
              <w:pStyle w:val="BodyText"/>
              <w:spacing w:after="0"/>
              <w:ind w:left="288" w:hanging="288"/>
              <w:rPr>
                <w:b w:val="0"/>
                <w:bCs w:val="0"/>
                <w:sz w:val="22"/>
              </w:rPr>
            </w:pPr>
            <w:r>
              <w:rPr>
                <w:color w:val="FFFFFF"/>
                <w:sz w:val="22"/>
                <w:lang w:val="es-ES_tradnl"/>
              </w:rPr>
              <w:lastRenderedPageBreak/>
              <w:t>11. ¿Qué debo hacer para participar en la Demanda colectiva?</w:t>
            </w:r>
          </w:p>
        </w:tc>
      </w:tr>
    </w:tbl>
    <w:p w14:paraId="53F69FC0" w14:textId="77777777" w:rsidR="008C5E97" w:rsidRDefault="008C5E97">
      <w:pPr>
        <w:pStyle w:val="BodyText"/>
        <w:spacing w:after="0"/>
        <w:rPr>
          <w:sz w:val="22"/>
        </w:rPr>
      </w:pPr>
    </w:p>
    <w:p w14:paraId="375B58C6" w14:textId="77777777" w:rsidR="008C5E97" w:rsidRDefault="00896F58">
      <w:pPr>
        <w:pStyle w:val="BodyText"/>
        <w:spacing w:after="0"/>
        <w:rPr>
          <w:sz w:val="22"/>
        </w:rPr>
      </w:pPr>
      <w:r>
        <w:rPr>
          <w:sz w:val="22"/>
          <w:lang w:val="es-ES_tradnl"/>
        </w:rPr>
        <w:t>Si desea participar en la demanda colectiva contra GEO y desea que los Representantes del grupo y sus abogados representen sus intereses, no es necesario que haga nada en este momento.</w:t>
      </w:r>
    </w:p>
    <w:p w14:paraId="46697D78"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766415FC"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57FF40C1" w14:textId="77777777" w:rsidR="008C5E97" w:rsidRDefault="00896F58">
            <w:pPr>
              <w:pStyle w:val="BodyText"/>
              <w:spacing w:after="0"/>
              <w:ind w:left="288" w:hanging="288"/>
              <w:rPr>
                <w:b w:val="0"/>
                <w:bCs w:val="0"/>
                <w:sz w:val="22"/>
              </w:rPr>
            </w:pPr>
            <w:r>
              <w:rPr>
                <w:color w:val="FFFFFF"/>
                <w:sz w:val="22"/>
                <w:lang w:val="es-ES_tradnl"/>
              </w:rPr>
              <w:t>12. ¿Qué sucede si participo en la demanda colectiva?</w:t>
            </w:r>
          </w:p>
        </w:tc>
      </w:tr>
    </w:tbl>
    <w:p w14:paraId="78AC57A2" w14:textId="77777777" w:rsidR="008C5E97" w:rsidRDefault="008C5E97">
      <w:pPr>
        <w:pStyle w:val="BodyText"/>
        <w:spacing w:after="0"/>
        <w:rPr>
          <w:sz w:val="22"/>
        </w:rPr>
      </w:pPr>
    </w:p>
    <w:p w14:paraId="06AAE20F" w14:textId="77777777" w:rsidR="008C5E97" w:rsidRDefault="00896F58">
      <w:pPr>
        <w:pStyle w:val="BodyText"/>
        <w:spacing w:after="0"/>
        <w:rPr>
          <w:sz w:val="22"/>
        </w:rPr>
      </w:pPr>
      <w:r>
        <w:rPr>
          <w:sz w:val="22"/>
          <w:lang w:val="es-ES_tradnl"/>
        </w:rPr>
        <w:t xml:space="preserve">Si participa en la demanda colectiva, estará obligado por toda decisión tomada por el Tribunal </w:t>
      </w:r>
      <w:proofErr w:type="gramStart"/>
      <w:r>
        <w:rPr>
          <w:sz w:val="22"/>
          <w:lang w:val="es-ES_tradnl"/>
        </w:rPr>
        <w:t>en relación al</w:t>
      </w:r>
      <w:proofErr w:type="gramEnd"/>
      <w:r>
        <w:rPr>
          <w:sz w:val="22"/>
          <w:lang w:val="es-ES_tradnl"/>
        </w:rPr>
        <w:t xml:space="preserve"> caso, independientemente de si es favorable o no. Esto significa que tendrá una parte de lo que el grupo recupere a través de un juicio o un acuerdo. Esto también significa que perderá todo derecho de presentar cualquier reclamación similar por este período de tiempo si el tribunal dicta sentencia en contra del grupo. Usted no será responsable de pagar los costos u honorarios del Abogado del grupo, pero estos montos podrán ser extraídos de lo recuperado en el caso. Si decide participar en la demanda colectiva, también podrá contratar a un abogado de su elección, pero a su propio cargo. Si decide que lo incluyan en el grupo, GEO no podrá tomar represalias en su contra de ninguna manera debido a su participación en este caso.</w:t>
      </w:r>
    </w:p>
    <w:p w14:paraId="64AF04D5"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5FEEFFC3"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29593FBD" w14:textId="77777777" w:rsidR="008C5E97" w:rsidRDefault="00896F58">
            <w:pPr>
              <w:pStyle w:val="BodyText"/>
              <w:spacing w:after="0"/>
              <w:ind w:left="288" w:hanging="288"/>
              <w:rPr>
                <w:b w:val="0"/>
                <w:bCs w:val="0"/>
                <w:sz w:val="22"/>
              </w:rPr>
            </w:pPr>
            <w:r>
              <w:rPr>
                <w:color w:val="FFFFFF"/>
                <w:sz w:val="22"/>
                <w:lang w:val="es-ES_tradnl"/>
              </w:rPr>
              <w:t>13. ¿Me puedo excluir de la Demanda colectiva?</w:t>
            </w:r>
          </w:p>
        </w:tc>
      </w:tr>
    </w:tbl>
    <w:p w14:paraId="6ED6CE54" w14:textId="77777777" w:rsidR="008C5E97" w:rsidRDefault="008C5E97">
      <w:pPr>
        <w:suppressAutoHyphens/>
        <w:rPr>
          <w:sz w:val="22"/>
        </w:rPr>
      </w:pPr>
    </w:p>
    <w:p w14:paraId="41B65B56" w14:textId="77777777" w:rsidR="008C5E97" w:rsidRDefault="00896F58">
      <w:pPr>
        <w:suppressAutoHyphens/>
        <w:rPr>
          <w:sz w:val="22"/>
        </w:rPr>
      </w:pPr>
      <w:r>
        <w:rPr>
          <w:sz w:val="22"/>
          <w:lang w:val="es-ES_tradnl"/>
        </w:rPr>
        <w:t xml:space="preserve">Sí. Si no desea ser un miembro del grupo en esta demanda, puede excluirse. Si desea excluirse, debe informar sobre su decisión al Abogado del grupo utilizando el formulario de Solicitud de exclusión que se adjunta a este Aviso como </w:t>
      </w:r>
      <w:r>
        <w:rPr>
          <w:b/>
          <w:bCs/>
          <w:sz w:val="22"/>
          <w:lang w:val="es-ES_tradnl"/>
        </w:rPr>
        <w:t>Anexo A</w:t>
      </w:r>
      <w:r>
        <w:rPr>
          <w:sz w:val="22"/>
          <w:lang w:val="es-ES_tradnl"/>
        </w:rPr>
        <w:t xml:space="preserve">. El formulario de Solicitud de exclusión también está disponible en www.vwpclassaction.com. También puede elaborar su propia solicitud de </w:t>
      </w:r>
      <w:proofErr w:type="gramStart"/>
      <w:r>
        <w:rPr>
          <w:sz w:val="22"/>
          <w:lang w:val="es-ES_tradnl"/>
        </w:rPr>
        <w:t>exclusión</w:t>
      </w:r>
      <w:proofErr w:type="gramEnd"/>
      <w:r>
        <w:rPr>
          <w:sz w:val="22"/>
          <w:lang w:val="es-ES_tradnl"/>
        </w:rPr>
        <w:t xml:space="preserve"> pero toda solicitud debe ser escrita.  </w:t>
      </w:r>
    </w:p>
    <w:p w14:paraId="0BDABE99" w14:textId="77777777" w:rsidR="008C5E97" w:rsidRDefault="008C5E97">
      <w:pPr>
        <w:suppressAutoHyphens/>
        <w:rPr>
          <w:sz w:val="22"/>
        </w:rPr>
      </w:pPr>
    </w:p>
    <w:p w14:paraId="61CEAA94" w14:textId="77777777" w:rsidR="008C5E97" w:rsidRDefault="00896F58">
      <w:pPr>
        <w:suppressAutoHyphens/>
        <w:rPr>
          <w:sz w:val="22"/>
        </w:rPr>
      </w:pPr>
      <w:r>
        <w:rPr>
          <w:sz w:val="22"/>
          <w:lang w:val="es-ES_tradnl"/>
        </w:rPr>
        <w:t xml:space="preserve">El formulario de Solicitud de exclusión debe ser enviado al Administrador del aviso por correo postal, correo electrónico o fax a más tardar el </w:t>
      </w:r>
      <w:r>
        <w:rPr>
          <w:b/>
          <w:bCs/>
          <w:sz w:val="22"/>
          <w:lang w:val="es-ES_tradnl"/>
        </w:rPr>
        <w:t>24 de marzo de 2020</w:t>
      </w:r>
      <w:r>
        <w:rPr>
          <w:sz w:val="22"/>
          <w:lang w:val="es-ES_tradnl"/>
        </w:rPr>
        <w:t xml:space="preserve"> a la siguiente dirección:  </w:t>
      </w:r>
    </w:p>
    <w:p w14:paraId="5072D60B" w14:textId="77777777" w:rsidR="008C5E97" w:rsidRDefault="008C5E97">
      <w:pPr>
        <w:keepNext/>
        <w:tabs>
          <w:tab w:val="left" w:pos="0"/>
        </w:tabs>
        <w:suppressAutoHyphens/>
        <w:rPr>
          <w:sz w:val="22"/>
        </w:rPr>
      </w:pPr>
    </w:p>
    <w:p w14:paraId="608A3B83" w14:textId="77777777" w:rsidR="008C5E97" w:rsidRDefault="00896F58">
      <w:pPr>
        <w:pStyle w:val="BodyText"/>
        <w:keepNext/>
        <w:spacing w:after="0"/>
        <w:ind w:left="720"/>
        <w:rPr>
          <w:sz w:val="22"/>
        </w:rPr>
      </w:pPr>
      <w:proofErr w:type="spellStart"/>
      <w:r>
        <w:rPr>
          <w:sz w:val="22"/>
          <w:lang w:val="es-ES_tradnl"/>
        </w:rPr>
        <w:t>Nwauzor</w:t>
      </w:r>
      <w:proofErr w:type="spellEnd"/>
      <w:r>
        <w:rPr>
          <w:sz w:val="22"/>
          <w:lang w:val="es-ES_tradnl"/>
        </w:rPr>
        <w:t xml:space="preserve">, et al. contra The Geo </w:t>
      </w:r>
      <w:proofErr w:type="spellStart"/>
      <w:r>
        <w:rPr>
          <w:sz w:val="22"/>
          <w:lang w:val="es-ES_tradnl"/>
        </w:rPr>
        <w:t>Group</w:t>
      </w:r>
      <w:proofErr w:type="spellEnd"/>
      <w:r>
        <w:rPr>
          <w:sz w:val="22"/>
          <w:lang w:val="es-ES_tradnl"/>
        </w:rPr>
        <w:t>, Inc.</w:t>
      </w:r>
    </w:p>
    <w:p w14:paraId="3219F06D" w14:textId="77777777" w:rsidR="008C5E97" w:rsidRDefault="00896F58">
      <w:pPr>
        <w:pStyle w:val="BodyText"/>
        <w:keepNext/>
        <w:spacing w:after="0"/>
        <w:ind w:left="720"/>
        <w:rPr>
          <w:sz w:val="22"/>
        </w:rPr>
      </w:pPr>
      <w:r>
        <w:rPr>
          <w:sz w:val="22"/>
          <w:lang w:val="es-ES_tradnl"/>
        </w:rPr>
        <w:t xml:space="preserve">c/o JND Legal </w:t>
      </w:r>
      <w:proofErr w:type="spellStart"/>
      <w:r>
        <w:rPr>
          <w:sz w:val="22"/>
          <w:lang w:val="es-ES_tradnl"/>
        </w:rPr>
        <w:t>Administration</w:t>
      </w:r>
      <w:proofErr w:type="spellEnd"/>
    </w:p>
    <w:p w14:paraId="2829454A" w14:textId="77777777" w:rsidR="008C5E97" w:rsidRDefault="00896F58">
      <w:pPr>
        <w:pStyle w:val="BodyText"/>
        <w:keepNext/>
        <w:spacing w:after="0"/>
        <w:ind w:left="720"/>
        <w:rPr>
          <w:sz w:val="22"/>
        </w:rPr>
      </w:pPr>
      <w:r>
        <w:rPr>
          <w:sz w:val="22"/>
          <w:lang w:val="es-ES_tradnl"/>
        </w:rPr>
        <w:t>PO Box 91226</w:t>
      </w:r>
    </w:p>
    <w:p w14:paraId="5253EA7E" w14:textId="77777777" w:rsidR="008C5E97" w:rsidRDefault="00896F58">
      <w:pPr>
        <w:pStyle w:val="BodyText"/>
        <w:keepNext/>
        <w:spacing w:after="0"/>
        <w:ind w:left="720"/>
        <w:rPr>
          <w:sz w:val="22"/>
        </w:rPr>
      </w:pPr>
      <w:r>
        <w:rPr>
          <w:sz w:val="22"/>
          <w:lang w:val="es-ES_tradnl"/>
        </w:rPr>
        <w:t>Seattle, WA 98111</w:t>
      </w:r>
    </w:p>
    <w:p w14:paraId="7857CFF7" w14:textId="77777777" w:rsidR="008C5E97" w:rsidRDefault="008C5E97">
      <w:pPr>
        <w:pStyle w:val="BodyText"/>
        <w:keepNext/>
        <w:spacing w:after="0"/>
        <w:ind w:left="720"/>
        <w:rPr>
          <w:sz w:val="22"/>
        </w:rPr>
      </w:pPr>
    </w:p>
    <w:p w14:paraId="5BD24205" w14:textId="77777777" w:rsidR="008C5E97" w:rsidRDefault="00896F58">
      <w:pPr>
        <w:pStyle w:val="BodyText"/>
        <w:keepNext/>
        <w:spacing w:after="0"/>
        <w:ind w:firstLine="720"/>
        <w:rPr>
          <w:sz w:val="22"/>
        </w:rPr>
      </w:pPr>
      <w:r>
        <w:rPr>
          <w:sz w:val="22"/>
          <w:lang w:val="es-ES_tradnl"/>
        </w:rPr>
        <w:t>Correo electrónico: info@vwpclassaction.com</w:t>
      </w:r>
    </w:p>
    <w:p w14:paraId="2C3BAD6F" w14:textId="77777777" w:rsidR="008C5E97" w:rsidRDefault="008C5E97">
      <w:pPr>
        <w:pStyle w:val="BodyText"/>
        <w:keepNext/>
        <w:spacing w:after="0"/>
        <w:ind w:firstLine="720"/>
        <w:rPr>
          <w:sz w:val="22"/>
        </w:rPr>
      </w:pPr>
    </w:p>
    <w:p w14:paraId="08793938" w14:textId="77777777" w:rsidR="008C5E97" w:rsidRDefault="00896F58">
      <w:pPr>
        <w:pStyle w:val="BodyText"/>
        <w:keepNext/>
        <w:spacing w:after="0"/>
        <w:ind w:firstLine="720"/>
        <w:rPr>
          <w:sz w:val="22"/>
        </w:rPr>
      </w:pPr>
      <w:r>
        <w:rPr>
          <w:sz w:val="22"/>
          <w:lang w:val="es-ES_tradnl"/>
        </w:rPr>
        <w:t>Fax: (206) 788-8766</w:t>
      </w:r>
    </w:p>
    <w:p w14:paraId="2D94CE2B" w14:textId="77777777" w:rsidR="008C5E97" w:rsidRDefault="008C5E97">
      <w:pPr>
        <w:pStyle w:val="BodyText"/>
        <w:keepNext/>
        <w:spacing w:after="0"/>
        <w:rPr>
          <w:b/>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2681D9CA"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40B623A2" w14:textId="77777777" w:rsidR="008C5E97" w:rsidRDefault="00896F58">
            <w:pPr>
              <w:pStyle w:val="BodyText"/>
              <w:spacing w:after="0"/>
              <w:ind w:left="288" w:hanging="288"/>
              <w:rPr>
                <w:b w:val="0"/>
                <w:bCs w:val="0"/>
                <w:sz w:val="22"/>
              </w:rPr>
            </w:pPr>
            <w:r>
              <w:rPr>
                <w:color w:val="FFFFFF"/>
                <w:sz w:val="22"/>
                <w:lang w:val="es-ES_tradnl"/>
              </w:rPr>
              <w:t>14. ¿Qué sucede si me excluyo de la demanda colectiva?</w:t>
            </w:r>
          </w:p>
        </w:tc>
      </w:tr>
    </w:tbl>
    <w:p w14:paraId="5E8CEF5A" w14:textId="77777777" w:rsidR="008C5E97" w:rsidRDefault="008C5E97">
      <w:pPr>
        <w:suppressAutoHyphens/>
        <w:rPr>
          <w:sz w:val="22"/>
        </w:rPr>
      </w:pPr>
    </w:p>
    <w:p w14:paraId="5FC728C9" w14:textId="77777777" w:rsidR="008C5E97" w:rsidRDefault="00896F58">
      <w:pPr>
        <w:suppressAutoHyphens/>
        <w:rPr>
          <w:sz w:val="22"/>
        </w:rPr>
      </w:pPr>
      <w:r>
        <w:rPr>
          <w:sz w:val="22"/>
          <w:lang w:val="es-ES_tradnl"/>
        </w:rPr>
        <w:t>Si se excluye de la demanda colectiva no estará afectado u obligado por ningún fallo, sentencia o resolución del caso. Usted mantendrá sus derechos en virtud de la ley y estará libre de proceder con cualquier reclamación posible por su propia cuenta. Esto también significa que no tendrá una parte de lo que se recupere que podría pagarse a los miembros del grupo como resultado de esta demanda.</w:t>
      </w:r>
    </w:p>
    <w:p w14:paraId="76747FBB"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5473F153"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6E552B88" w14:textId="77777777" w:rsidR="008C5E97" w:rsidRDefault="00896F58">
            <w:pPr>
              <w:pStyle w:val="BodyText"/>
              <w:spacing w:after="0"/>
              <w:ind w:left="288" w:hanging="288"/>
              <w:rPr>
                <w:b w:val="0"/>
                <w:bCs w:val="0"/>
                <w:sz w:val="22"/>
              </w:rPr>
            </w:pPr>
            <w:r>
              <w:rPr>
                <w:color w:val="FFFFFF"/>
                <w:sz w:val="22"/>
                <w:lang w:val="es-ES_tradnl"/>
              </w:rPr>
              <w:t>15. ¿Alguien puede tomar represalias en mi contra por participar o excluirme?</w:t>
            </w:r>
          </w:p>
        </w:tc>
      </w:tr>
    </w:tbl>
    <w:p w14:paraId="7EFDCCCC" w14:textId="77777777" w:rsidR="008C5E97" w:rsidRDefault="008C5E97">
      <w:pPr>
        <w:suppressAutoHyphens/>
        <w:rPr>
          <w:sz w:val="22"/>
        </w:rPr>
      </w:pPr>
    </w:p>
    <w:p w14:paraId="69A6B188" w14:textId="77777777" w:rsidR="008C5E97" w:rsidRDefault="00896F58">
      <w:pPr>
        <w:pStyle w:val="BodyText"/>
        <w:spacing w:after="0"/>
        <w:rPr>
          <w:sz w:val="22"/>
        </w:rPr>
      </w:pPr>
      <w:r>
        <w:rPr>
          <w:sz w:val="22"/>
          <w:lang w:val="es-ES_tradnl"/>
        </w:rPr>
        <w:t>Nadie puede tomar represalias en su contra de ninguna manera debido a que decida participar o excluirse de esta demanda colectiva.</w:t>
      </w:r>
    </w:p>
    <w:p w14:paraId="3AF59F53" w14:textId="77777777" w:rsidR="008C5E97" w:rsidRDefault="008C5E97">
      <w:pPr>
        <w:pStyle w:val="BodyText"/>
        <w:spacing w:after="0"/>
        <w:rPr>
          <w:sz w:val="22"/>
        </w:rPr>
      </w:pPr>
    </w:p>
    <w:tbl>
      <w:tblPr>
        <w:tblStyle w:val="LightList"/>
        <w:tblW w:w="9360" w:type="dxa"/>
        <w:tblBorders>
          <w:insideH w:val="single" w:sz="8" w:space="0" w:color="000000" w:themeColor="text1"/>
          <w:insideV w:val="single" w:sz="8" w:space="0" w:color="000000" w:themeColor="text1"/>
        </w:tblBorders>
        <w:shd w:val="clear" w:color="auto" w:fill="7F7F7F" w:themeFill="text1" w:themeFillTint="80"/>
        <w:tblCellMar>
          <w:top w:w="115" w:type="dxa"/>
          <w:left w:w="115" w:type="dxa"/>
          <w:bottom w:w="115" w:type="dxa"/>
          <w:right w:w="115" w:type="dxa"/>
        </w:tblCellMar>
        <w:tblLook w:val="04A0" w:firstRow="1" w:lastRow="0" w:firstColumn="1" w:lastColumn="0" w:noHBand="0" w:noVBand="1"/>
      </w:tblPr>
      <w:tblGrid>
        <w:gridCol w:w="9360"/>
      </w:tblGrid>
      <w:tr w:rsidR="008C5E97" w14:paraId="74EB6FA9" w14:textId="77777777" w:rsidTr="008C5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shd w:val="clear" w:color="auto" w:fill="7F7F7F" w:themeFill="text1" w:themeFillTint="80"/>
          </w:tcPr>
          <w:p w14:paraId="7BEE02B9" w14:textId="77777777" w:rsidR="008C5E97" w:rsidRDefault="00896F58">
            <w:pPr>
              <w:pStyle w:val="BodyText"/>
              <w:spacing w:after="0"/>
              <w:ind w:left="288" w:hanging="288"/>
              <w:rPr>
                <w:b w:val="0"/>
                <w:bCs w:val="0"/>
                <w:sz w:val="22"/>
              </w:rPr>
            </w:pPr>
            <w:r>
              <w:rPr>
                <w:color w:val="FFFFFF"/>
                <w:sz w:val="22"/>
                <w:lang w:val="es-ES_tradnl"/>
              </w:rPr>
              <w:t>16. ¿Cómo obtengo más información?</w:t>
            </w:r>
          </w:p>
        </w:tc>
      </w:tr>
    </w:tbl>
    <w:p w14:paraId="07279B5D" w14:textId="77777777" w:rsidR="008C5E97" w:rsidRDefault="008C5E97">
      <w:pPr>
        <w:suppressAutoHyphens/>
        <w:rPr>
          <w:sz w:val="22"/>
        </w:rPr>
      </w:pPr>
    </w:p>
    <w:p w14:paraId="157FE0BB" w14:textId="77777777" w:rsidR="008C5E97" w:rsidRDefault="00896F58">
      <w:pPr>
        <w:suppressAutoHyphens/>
        <w:rPr>
          <w:sz w:val="22"/>
        </w:rPr>
      </w:pPr>
      <w:r>
        <w:rPr>
          <w:b/>
          <w:bCs/>
          <w:sz w:val="22"/>
          <w:lang w:val="es-ES_tradnl"/>
        </w:rPr>
        <w:t>NO SE CONTACTE CON EL TRIBUNAL PARA OBTENER INFORMACIÓN.</w:t>
      </w:r>
      <w:r>
        <w:rPr>
          <w:sz w:val="22"/>
          <w:lang w:val="es-ES_tradnl"/>
        </w:rPr>
        <w:t xml:space="preserve"> </w:t>
      </w:r>
    </w:p>
    <w:p w14:paraId="65DD2446" w14:textId="77777777" w:rsidR="008C5E97" w:rsidRDefault="008C5E97">
      <w:pPr>
        <w:suppressAutoHyphens/>
        <w:rPr>
          <w:sz w:val="22"/>
        </w:rPr>
      </w:pPr>
    </w:p>
    <w:p w14:paraId="6FC57010" w14:textId="77777777" w:rsidR="008C5E97" w:rsidRDefault="00896F58">
      <w:pPr>
        <w:suppressAutoHyphens/>
        <w:rPr>
          <w:sz w:val="22"/>
        </w:rPr>
      </w:pPr>
      <w:bookmarkStart w:id="1" w:name="_Hlk30596630"/>
      <w:r>
        <w:rPr>
          <w:sz w:val="22"/>
          <w:lang w:val="es-ES_tradnl"/>
        </w:rPr>
        <w:t xml:space="preserve">Visite el sitio web www.vwpclassaction.com, donde podrá encontrar la Orden del Tribunal que certifica la Demanda colectiva, la Demanda que presentaron los Abogados, la respuesta del Demandado a la Demanda y un formulario de Solicitud de exclusión. También puede llamar al 1-855-961-0959 para obtener más información o escribir a: </w:t>
      </w:r>
      <w:proofErr w:type="spellStart"/>
      <w:r>
        <w:rPr>
          <w:i/>
          <w:iCs/>
          <w:sz w:val="22"/>
          <w:lang w:val="es-ES_tradnl"/>
        </w:rPr>
        <w:t>Nwauzor</w:t>
      </w:r>
      <w:proofErr w:type="spellEnd"/>
      <w:r>
        <w:rPr>
          <w:i/>
          <w:iCs/>
          <w:sz w:val="22"/>
          <w:lang w:val="es-ES_tradnl"/>
        </w:rPr>
        <w:t xml:space="preserve"> v. The GEO </w:t>
      </w:r>
      <w:proofErr w:type="spellStart"/>
      <w:r>
        <w:rPr>
          <w:i/>
          <w:iCs/>
          <w:sz w:val="22"/>
          <w:lang w:val="es-ES_tradnl"/>
        </w:rPr>
        <w:t>Group</w:t>
      </w:r>
      <w:proofErr w:type="spellEnd"/>
      <w:r>
        <w:rPr>
          <w:i/>
          <w:iCs/>
          <w:sz w:val="22"/>
          <w:lang w:val="es-ES_tradnl"/>
        </w:rPr>
        <w:t>, Inc. Class Action</w:t>
      </w:r>
      <w:r>
        <w:rPr>
          <w:sz w:val="22"/>
          <w:lang w:val="es-ES_tradnl"/>
        </w:rPr>
        <w:t xml:space="preserve">, c/o JND Legal </w:t>
      </w:r>
      <w:proofErr w:type="spellStart"/>
      <w:r>
        <w:rPr>
          <w:sz w:val="22"/>
          <w:lang w:val="es-ES_tradnl"/>
        </w:rPr>
        <w:t>Administration</w:t>
      </w:r>
      <w:proofErr w:type="spellEnd"/>
      <w:r>
        <w:rPr>
          <w:sz w:val="22"/>
          <w:lang w:val="es-ES_tradnl"/>
        </w:rPr>
        <w:t>, PO Box 91226, Seattle, WA 98111.</w:t>
      </w:r>
    </w:p>
    <w:p w14:paraId="0468FF77" w14:textId="77777777" w:rsidR="008C5E97" w:rsidRDefault="008C5E97">
      <w:pPr>
        <w:suppressAutoHyphens/>
        <w:rPr>
          <w:sz w:val="22"/>
        </w:rPr>
      </w:pPr>
    </w:p>
    <w:p w14:paraId="4B1D3034" w14:textId="77777777" w:rsidR="008C5E97" w:rsidRDefault="00896F58">
      <w:pPr>
        <w:suppressAutoHyphens/>
        <w:rPr>
          <w:sz w:val="22"/>
        </w:rPr>
      </w:pPr>
      <w:r>
        <w:rPr>
          <w:sz w:val="22"/>
          <w:lang w:val="es-ES_tradnl"/>
        </w:rPr>
        <w:t xml:space="preserve">También puede contactar al Administrador del aviso en: </w:t>
      </w:r>
    </w:p>
    <w:p w14:paraId="39CF08AB" w14:textId="77777777" w:rsidR="008C5E97" w:rsidRDefault="008C5E97">
      <w:pPr>
        <w:suppressAutoHyphens/>
        <w:rPr>
          <w:sz w:val="22"/>
        </w:rPr>
      </w:pPr>
    </w:p>
    <w:p w14:paraId="568C506D" w14:textId="77777777" w:rsidR="008C5E97" w:rsidRDefault="00896F58">
      <w:pPr>
        <w:suppressAutoHyphens/>
        <w:ind w:left="720"/>
        <w:rPr>
          <w:sz w:val="22"/>
        </w:rPr>
      </w:pPr>
      <w:r>
        <w:rPr>
          <w:sz w:val="22"/>
          <w:lang w:val="es-ES_tradnl"/>
        </w:rPr>
        <w:t xml:space="preserve">Sitio web: www.vwpclassaction.com, </w:t>
      </w:r>
    </w:p>
    <w:p w14:paraId="5FF64A4D" w14:textId="77777777" w:rsidR="008C5E97" w:rsidRDefault="008C5E97">
      <w:pPr>
        <w:suppressAutoHyphens/>
        <w:ind w:left="720"/>
        <w:rPr>
          <w:sz w:val="22"/>
        </w:rPr>
      </w:pPr>
    </w:p>
    <w:p w14:paraId="068D4A9C" w14:textId="77777777" w:rsidR="008C5E97" w:rsidRDefault="00896F58">
      <w:pPr>
        <w:suppressAutoHyphens/>
        <w:ind w:left="720"/>
        <w:rPr>
          <w:sz w:val="22"/>
        </w:rPr>
      </w:pPr>
      <w:r>
        <w:rPr>
          <w:sz w:val="22"/>
          <w:lang w:val="es-ES_tradnl"/>
        </w:rPr>
        <w:t>Correo electrónico: info@vwpclassaction.com</w:t>
      </w:r>
    </w:p>
    <w:p w14:paraId="757405F4" w14:textId="77777777" w:rsidR="008C5E97" w:rsidRDefault="008C5E97">
      <w:pPr>
        <w:suppressAutoHyphens/>
        <w:ind w:left="720"/>
        <w:rPr>
          <w:sz w:val="22"/>
        </w:rPr>
      </w:pPr>
    </w:p>
    <w:p w14:paraId="7F15662F" w14:textId="77777777" w:rsidR="008C5E97" w:rsidRDefault="00896F58">
      <w:pPr>
        <w:suppressAutoHyphens/>
        <w:ind w:left="720"/>
        <w:rPr>
          <w:sz w:val="22"/>
        </w:rPr>
      </w:pPr>
      <w:r>
        <w:rPr>
          <w:sz w:val="22"/>
          <w:lang w:val="es-ES_tradnl"/>
        </w:rPr>
        <w:t>Número gratuito: 1-855-961-0959</w:t>
      </w:r>
    </w:p>
    <w:bookmarkEnd w:id="1"/>
    <w:p w14:paraId="72FE25B6" w14:textId="77777777" w:rsidR="008C5E97" w:rsidRDefault="008C5E97">
      <w:pPr>
        <w:keepNext/>
        <w:rPr>
          <w:b/>
          <w:sz w:val="22"/>
        </w:rPr>
      </w:pPr>
    </w:p>
    <w:p w14:paraId="1AF9B513" w14:textId="77777777" w:rsidR="008C5E97" w:rsidRDefault="00896F58">
      <w:pPr>
        <w:tabs>
          <w:tab w:val="left" w:pos="0"/>
          <w:tab w:val="left" w:pos="720"/>
        </w:tabs>
        <w:rPr>
          <w:b/>
          <w:sz w:val="22"/>
        </w:rPr>
      </w:pPr>
      <w:bookmarkStart w:id="2" w:name="_Hlk30596703"/>
      <w:r>
        <w:rPr>
          <w:sz w:val="22"/>
          <w:lang w:val="es-ES_tradnl"/>
        </w:rPr>
        <w:t xml:space="preserve">También puede buscar asesoramiento de su propio abogado si lo desea. </w:t>
      </w:r>
    </w:p>
    <w:p w14:paraId="78A45A6A" w14:textId="77777777" w:rsidR="008C5E97" w:rsidRDefault="008C5E97">
      <w:pPr>
        <w:tabs>
          <w:tab w:val="left" w:pos="0"/>
          <w:tab w:val="left" w:pos="720"/>
        </w:tabs>
        <w:rPr>
          <w:sz w:val="22"/>
        </w:rPr>
      </w:pPr>
    </w:p>
    <w:p w14:paraId="542D7D68" w14:textId="77777777" w:rsidR="008C5E97" w:rsidRDefault="00896F58">
      <w:pPr>
        <w:tabs>
          <w:tab w:val="left" w:pos="0"/>
          <w:tab w:val="left" w:pos="720"/>
        </w:tabs>
        <w:rPr>
          <w:sz w:val="22"/>
        </w:rPr>
      </w:pPr>
      <w:r>
        <w:rPr>
          <w:sz w:val="22"/>
          <w:lang w:val="es-ES_tradnl"/>
        </w:rPr>
        <w:t xml:space="preserve">Por último, todos los escritos y las demás actas judiciales de este litigio podrán ser examinadas y copiadas en cualquier momento durante las horas laborales regulares de la oficina del secretario del Tribunal de Distrito de los Estados Unidos, 1717 </w:t>
      </w:r>
      <w:proofErr w:type="spellStart"/>
      <w:r>
        <w:rPr>
          <w:sz w:val="22"/>
          <w:lang w:val="es-ES_tradnl"/>
        </w:rPr>
        <w:t>Pacific</w:t>
      </w:r>
      <w:proofErr w:type="spellEnd"/>
      <w:r>
        <w:rPr>
          <w:sz w:val="22"/>
          <w:lang w:val="es-ES_tradnl"/>
        </w:rPr>
        <w:t xml:space="preserve"> Avenue, en la sala 3100, Tacoma, WA 98402-3200.</w:t>
      </w:r>
    </w:p>
    <w:bookmarkEnd w:id="2"/>
    <w:p w14:paraId="7030E402" w14:textId="77777777" w:rsidR="008C5E97" w:rsidRDefault="008C5E97">
      <w:pPr>
        <w:pStyle w:val="BodyText"/>
        <w:spacing w:after="0"/>
        <w:rPr>
          <w:sz w:val="22"/>
        </w:rPr>
      </w:pPr>
    </w:p>
    <w:p w14:paraId="1EA809C7" w14:textId="77777777" w:rsidR="008C5E97" w:rsidRDefault="008C5E97">
      <w:pPr>
        <w:pStyle w:val="BodyText"/>
        <w:spacing w:after="0"/>
        <w:jc w:val="left"/>
        <w:rPr>
          <w:sz w:val="22"/>
        </w:rPr>
      </w:pPr>
    </w:p>
    <w:p w14:paraId="2F8BE43F" w14:textId="77777777" w:rsidR="008C5E97" w:rsidRDefault="00896F58">
      <w:pPr>
        <w:rPr>
          <w:sz w:val="22"/>
        </w:rPr>
      </w:pPr>
      <w:r>
        <w:rPr>
          <w:sz w:val="22"/>
        </w:rPr>
        <w:br w:type="page"/>
      </w:r>
    </w:p>
    <w:p w14:paraId="24C00D45" w14:textId="77777777" w:rsidR="008C5E97" w:rsidRDefault="00896F58">
      <w:pPr>
        <w:pStyle w:val="BodyText"/>
        <w:spacing w:after="0"/>
        <w:jc w:val="center"/>
        <w:rPr>
          <w:i/>
          <w:sz w:val="22"/>
        </w:rPr>
      </w:pPr>
      <w:r>
        <w:rPr>
          <w:i/>
          <w:iCs/>
          <w:sz w:val="22"/>
          <w:lang w:val="es-ES_tradnl"/>
        </w:rPr>
        <w:lastRenderedPageBreak/>
        <w:t xml:space="preserve">Anexo A del Aviso en formato largo </w:t>
      </w:r>
    </w:p>
    <w:p w14:paraId="76C9D55F" w14:textId="77777777" w:rsidR="008C5E97" w:rsidRDefault="008C5E97">
      <w:pPr>
        <w:pStyle w:val="BodyText"/>
        <w:spacing w:after="0"/>
        <w:jc w:val="center"/>
        <w:rPr>
          <w:sz w:val="22"/>
        </w:rPr>
      </w:pPr>
    </w:p>
    <w:p w14:paraId="380B9E64" w14:textId="77777777" w:rsidR="008C5E97" w:rsidRDefault="00896F58">
      <w:pPr>
        <w:pStyle w:val="BodyText"/>
        <w:spacing w:after="0"/>
        <w:jc w:val="center"/>
        <w:rPr>
          <w:b/>
          <w:sz w:val="22"/>
          <w:u w:val="single"/>
        </w:rPr>
      </w:pPr>
      <w:r>
        <w:rPr>
          <w:b/>
          <w:bCs/>
          <w:sz w:val="22"/>
          <w:u w:val="single"/>
          <w:lang w:val="es-ES_tradnl"/>
        </w:rPr>
        <w:t>SOLICITUD DE EXCLUSIÓN DEL GRUPO</w:t>
      </w:r>
    </w:p>
    <w:p w14:paraId="30C825FD" w14:textId="77777777" w:rsidR="008C5E97" w:rsidRDefault="008C5E97">
      <w:pPr>
        <w:pStyle w:val="BodyText"/>
        <w:spacing w:after="0"/>
        <w:jc w:val="center"/>
        <w:rPr>
          <w:b/>
          <w:sz w:val="22"/>
          <w:u w:val="single"/>
        </w:rPr>
      </w:pPr>
    </w:p>
    <w:p w14:paraId="09663594" w14:textId="77777777" w:rsidR="008C5E97" w:rsidRDefault="00896F58">
      <w:pPr>
        <w:pStyle w:val="BodyText"/>
        <w:spacing w:after="0"/>
        <w:rPr>
          <w:sz w:val="22"/>
        </w:rPr>
      </w:pPr>
      <w:r>
        <w:rPr>
          <w:sz w:val="22"/>
          <w:lang w:val="es-ES_tradnl"/>
        </w:rPr>
        <w:t>Lea cuidadosamente el Aviso de Demanda colectiva adjunto antes de completar este formulario.</w:t>
      </w:r>
    </w:p>
    <w:p w14:paraId="31221A00" w14:textId="77777777" w:rsidR="008C5E97" w:rsidRDefault="008C5E97">
      <w:pPr>
        <w:pStyle w:val="BodyText"/>
        <w:spacing w:after="0"/>
        <w:rPr>
          <w:sz w:val="22"/>
        </w:rPr>
      </w:pPr>
    </w:p>
    <w:p w14:paraId="044C446D" w14:textId="77777777" w:rsidR="008C5E97" w:rsidRDefault="00896F58">
      <w:pPr>
        <w:pStyle w:val="BodyText"/>
        <w:spacing w:after="0"/>
        <w:rPr>
          <w:b/>
          <w:sz w:val="22"/>
        </w:rPr>
      </w:pPr>
      <w:r>
        <w:rPr>
          <w:b/>
          <w:bCs/>
          <w:sz w:val="22"/>
          <w:lang w:val="es-ES_tradnl"/>
        </w:rPr>
        <w:t>NO COMPLETE EL FORMULARIO SI DESEA SEGUIR FORMANDO PARTE DEL CASO Y SER REPRESENTADO POR UN ABOGADO DEL GRUPO</w:t>
      </w:r>
    </w:p>
    <w:p w14:paraId="7CE9B594" w14:textId="77777777" w:rsidR="008C5E97" w:rsidRDefault="008C5E97">
      <w:pPr>
        <w:pStyle w:val="BodyText"/>
        <w:spacing w:after="0"/>
        <w:rPr>
          <w:sz w:val="22"/>
        </w:rPr>
      </w:pPr>
    </w:p>
    <w:p w14:paraId="2CE7E082" w14:textId="77777777" w:rsidR="008C5E97" w:rsidRDefault="00896F58">
      <w:pPr>
        <w:pStyle w:val="BodyText"/>
        <w:spacing w:after="0"/>
        <w:rPr>
          <w:sz w:val="22"/>
        </w:rPr>
      </w:pPr>
      <w:r>
        <w:rPr>
          <w:sz w:val="22"/>
          <w:lang w:val="es-ES_tradnl"/>
        </w:rPr>
        <w:t xml:space="preserve">Si desea </w:t>
      </w:r>
      <w:r>
        <w:rPr>
          <w:b/>
          <w:bCs/>
          <w:sz w:val="22"/>
          <w:u w:val="single"/>
          <w:lang w:val="es-ES_tradnl"/>
        </w:rPr>
        <w:t>excluirse</w:t>
      </w:r>
      <w:r>
        <w:rPr>
          <w:sz w:val="22"/>
          <w:lang w:val="es-ES_tradnl"/>
        </w:rPr>
        <w:t xml:space="preserve"> del Grupo, firme y feche este formulario y devuélvalo al Abogado del grupo a más tardar el </w:t>
      </w:r>
      <w:r>
        <w:rPr>
          <w:b/>
          <w:bCs/>
          <w:sz w:val="22"/>
          <w:lang w:val="es-ES_tradnl"/>
        </w:rPr>
        <w:t xml:space="preserve">24 de marzo de 2020. </w:t>
      </w:r>
      <w:r>
        <w:rPr>
          <w:sz w:val="22"/>
          <w:lang w:val="es-ES_tradnl"/>
        </w:rPr>
        <w:t xml:space="preserve">La Solicitud de exclusión debe ser enviada por correo postal, correo electrónico, fax u otro método de entrega a más tardar el </w:t>
      </w:r>
      <w:r>
        <w:rPr>
          <w:b/>
          <w:bCs/>
          <w:sz w:val="22"/>
          <w:lang w:val="es-ES_tradnl"/>
        </w:rPr>
        <w:t>24 de marzo de 2020</w:t>
      </w:r>
      <w:r>
        <w:rPr>
          <w:sz w:val="22"/>
          <w:lang w:val="es-ES_tradnl"/>
        </w:rPr>
        <w:t xml:space="preserve"> a:</w:t>
      </w:r>
    </w:p>
    <w:p w14:paraId="569CAAE0" w14:textId="77777777" w:rsidR="008C5E97" w:rsidRDefault="00896F58">
      <w:pPr>
        <w:pStyle w:val="BodyText"/>
        <w:spacing w:after="0"/>
        <w:rPr>
          <w:sz w:val="22"/>
        </w:rPr>
      </w:pPr>
      <w:r>
        <w:rPr>
          <w:sz w:val="22"/>
        </w:rPr>
        <w:tab/>
      </w:r>
    </w:p>
    <w:p w14:paraId="5354306F" w14:textId="77777777" w:rsidR="008C5E97" w:rsidRDefault="00896F58">
      <w:pPr>
        <w:pStyle w:val="BodyText"/>
        <w:spacing w:after="0"/>
        <w:ind w:left="720"/>
        <w:rPr>
          <w:sz w:val="22"/>
        </w:rPr>
      </w:pPr>
      <w:proofErr w:type="spellStart"/>
      <w:r>
        <w:rPr>
          <w:sz w:val="22"/>
          <w:lang w:val="es-ES_tradnl"/>
        </w:rPr>
        <w:t>Nwauzor</w:t>
      </w:r>
      <w:proofErr w:type="spellEnd"/>
      <w:r>
        <w:rPr>
          <w:sz w:val="22"/>
          <w:lang w:val="es-ES_tradnl"/>
        </w:rPr>
        <w:t xml:space="preserve"> v. The GEO </w:t>
      </w:r>
      <w:proofErr w:type="spellStart"/>
      <w:r>
        <w:rPr>
          <w:sz w:val="22"/>
          <w:lang w:val="es-ES_tradnl"/>
        </w:rPr>
        <w:t>Group</w:t>
      </w:r>
      <w:proofErr w:type="spellEnd"/>
      <w:r>
        <w:rPr>
          <w:sz w:val="22"/>
          <w:lang w:val="es-ES_tradnl"/>
        </w:rPr>
        <w:t>, Inc. Class Action</w:t>
      </w:r>
    </w:p>
    <w:p w14:paraId="5FD30317" w14:textId="77777777" w:rsidR="008C5E97" w:rsidRDefault="00896F58">
      <w:pPr>
        <w:pStyle w:val="BodyText"/>
        <w:spacing w:after="0"/>
        <w:ind w:left="720"/>
        <w:rPr>
          <w:sz w:val="22"/>
        </w:rPr>
      </w:pPr>
      <w:r>
        <w:rPr>
          <w:sz w:val="22"/>
          <w:lang w:val="es-ES_tradnl"/>
        </w:rPr>
        <w:t xml:space="preserve">c/o JND Legal </w:t>
      </w:r>
      <w:proofErr w:type="spellStart"/>
      <w:r>
        <w:rPr>
          <w:sz w:val="22"/>
          <w:lang w:val="es-ES_tradnl"/>
        </w:rPr>
        <w:t>Administration</w:t>
      </w:r>
      <w:proofErr w:type="spellEnd"/>
      <w:r>
        <w:rPr>
          <w:sz w:val="22"/>
          <w:lang w:val="es-ES_tradnl"/>
        </w:rPr>
        <w:t xml:space="preserve"> </w:t>
      </w:r>
    </w:p>
    <w:p w14:paraId="3D2A715B" w14:textId="77777777" w:rsidR="008C5E97" w:rsidRDefault="00896F58">
      <w:pPr>
        <w:pStyle w:val="BodyText"/>
        <w:spacing w:after="0"/>
        <w:ind w:left="720"/>
        <w:rPr>
          <w:sz w:val="22"/>
        </w:rPr>
      </w:pPr>
      <w:r>
        <w:rPr>
          <w:sz w:val="22"/>
          <w:lang w:val="es-ES_tradnl"/>
        </w:rPr>
        <w:t>PO Box 91226</w:t>
      </w:r>
    </w:p>
    <w:p w14:paraId="204B8E65" w14:textId="77777777" w:rsidR="008C5E97" w:rsidRDefault="00896F58">
      <w:pPr>
        <w:pStyle w:val="BodyText"/>
        <w:spacing w:after="0"/>
        <w:ind w:left="720"/>
        <w:rPr>
          <w:sz w:val="22"/>
        </w:rPr>
      </w:pPr>
      <w:r>
        <w:rPr>
          <w:sz w:val="22"/>
          <w:lang w:val="es-ES_tradnl"/>
        </w:rPr>
        <w:t>Seattle, WA 98111</w:t>
      </w:r>
    </w:p>
    <w:p w14:paraId="0DA28678" w14:textId="77777777" w:rsidR="008C5E97" w:rsidRDefault="008C5E97">
      <w:pPr>
        <w:pStyle w:val="BodyText"/>
        <w:spacing w:after="0"/>
        <w:rPr>
          <w:sz w:val="22"/>
        </w:rPr>
      </w:pPr>
    </w:p>
    <w:p w14:paraId="2F0D71E7" w14:textId="77777777" w:rsidR="008C5E97" w:rsidRDefault="00896F58">
      <w:pPr>
        <w:pStyle w:val="BodyText"/>
        <w:spacing w:after="0"/>
        <w:ind w:left="720"/>
        <w:rPr>
          <w:sz w:val="22"/>
        </w:rPr>
      </w:pPr>
      <w:r>
        <w:rPr>
          <w:sz w:val="22"/>
          <w:lang w:val="es-ES_tradnl"/>
        </w:rPr>
        <w:t>Correo electrónico: info@vwpclassaction.com</w:t>
      </w:r>
    </w:p>
    <w:p w14:paraId="31D76942" w14:textId="77777777" w:rsidR="008C5E97" w:rsidRDefault="008C5E97">
      <w:pPr>
        <w:pStyle w:val="BodyText"/>
        <w:spacing w:after="0"/>
        <w:rPr>
          <w:sz w:val="22"/>
        </w:rPr>
      </w:pPr>
    </w:p>
    <w:p w14:paraId="2FEDE79D" w14:textId="77777777" w:rsidR="008C5E97" w:rsidRDefault="00896F58">
      <w:pPr>
        <w:pStyle w:val="BodyText"/>
        <w:spacing w:after="0"/>
        <w:ind w:left="720"/>
        <w:rPr>
          <w:sz w:val="22"/>
        </w:rPr>
      </w:pPr>
      <w:r>
        <w:rPr>
          <w:sz w:val="22"/>
          <w:lang w:val="es-ES_tradnl"/>
        </w:rPr>
        <w:t>Fax: 206-788-8766</w:t>
      </w:r>
    </w:p>
    <w:p w14:paraId="54DB3552" w14:textId="77777777" w:rsidR="008C5E97" w:rsidRDefault="008C5E97">
      <w:pPr>
        <w:pStyle w:val="BodyText"/>
        <w:spacing w:after="0"/>
        <w:rPr>
          <w:sz w:val="22"/>
        </w:rPr>
      </w:pPr>
    </w:p>
    <w:p w14:paraId="789968F9" w14:textId="77777777" w:rsidR="008C5E97" w:rsidRDefault="00896F58">
      <w:pPr>
        <w:pStyle w:val="BodyText"/>
        <w:spacing w:after="0"/>
        <w:rPr>
          <w:sz w:val="22"/>
        </w:rPr>
      </w:pPr>
      <w:r>
        <w:rPr>
          <w:sz w:val="22"/>
          <w:lang w:val="es-ES_tradnl"/>
        </w:rPr>
        <w:t xml:space="preserve">Deseo </w:t>
      </w:r>
      <w:r>
        <w:rPr>
          <w:b/>
          <w:bCs/>
          <w:sz w:val="22"/>
          <w:u w:val="single"/>
          <w:lang w:val="es-ES_tradnl"/>
        </w:rPr>
        <w:t>excluirme</w:t>
      </w:r>
      <w:r>
        <w:rPr>
          <w:sz w:val="22"/>
          <w:lang w:val="es-ES_tradnl"/>
        </w:rPr>
        <w:t xml:space="preserve"> del grupo que fue certificado en el caso de</w:t>
      </w:r>
      <w:r>
        <w:rPr>
          <w:i/>
          <w:iCs/>
          <w:sz w:val="22"/>
          <w:lang w:val="es-ES_tradnl"/>
        </w:rPr>
        <w:t xml:space="preserve"> </w:t>
      </w:r>
      <w:proofErr w:type="spellStart"/>
      <w:r>
        <w:rPr>
          <w:i/>
          <w:iCs/>
          <w:sz w:val="22"/>
          <w:lang w:val="es-ES_tradnl"/>
        </w:rPr>
        <w:t>Nwauzor</w:t>
      </w:r>
      <w:proofErr w:type="spellEnd"/>
      <w:r>
        <w:rPr>
          <w:i/>
          <w:iCs/>
          <w:sz w:val="22"/>
          <w:lang w:val="es-ES_tradnl"/>
        </w:rPr>
        <w:t xml:space="preserve"> et al. contra The GEO GROUP, Inc., n.º 17-cv-5769-</w:t>
      </w:r>
      <w:proofErr w:type="gramStart"/>
      <w:r>
        <w:rPr>
          <w:i/>
          <w:iCs/>
          <w:sz w:val="22"/>
          <w:lang w:val="es-ES_tradnl"/>
        </w:rPr>
        <w:t>RJB</w:t>
      </w:r>
      <w:r>
        <w:rPr>
          <w:sz w:val="22"/>
          <w:lang w:val="es-ES_tradnl"/>
        </w:rPr>
        <w:t>,  Tribunal</w:t>
      </w:r>
      <w:proofErr w:type="gramEnd"/>
      <w:r>
        <w:rPr>
          <w:sz w:val="22"/>
          <w:lang w:val="es-ES_tradnl"/>
        </w:rPr>
        <w:t xml:space="preserve"> de Distrito de los Estados Unidos para el Distrito Oeste de Washington en Tacoma.</w:t>
      </w:r>
    </w:p>
    <w:p w14:paraId="305CFEA9" w14:textId="77777777" w:rsidR="008C5E97" w:rsidRDefault="008C5E97">
      <w:pPr>
        <w:pStyle w:val="BodyText"/>
        <w:tabs>
          <w:tab w:val="right" w:pos="8640"/>
        </w:tabs>
        <w:spacing w:after="0"/>
        <w:ind w:left="720"/>
        <w:rPr>
          <w:b/>
          <w:sz w:val="22"/>
        </w:rPr>
      </w:pPr>
    </w:p>
    <w:tbl>
      <w:tblPr>
        <w:tblW w:w="0" w:type="auto"/>
        <w:jc w:val="center"/>
        <w:tblCellMar>
          <w:top w:w="115" w:type="dxa"/>
          <w:left w:w="115" w:type="dxa"/>
          <w:right w:w="115" w:type="dxa"/>
        </w:tblCellMar>
        <w:tblLook w:val="04A0" w:firstRow="1" w:lastRow="0" w:firstColumn="1" w:lastColumn="0" w:noHBand="0" w:noVBand="1"/>
      </w:tblPr>
      <w:tblGrid>
        <w:gridCol w:w="2160"/>
        <w:gridCol w:w="5760"/>
      </w:tblGrid>
      <w:tr w:rsidR="008C5E97" w14:paraId="56E3425F" w14:textId="77777777">
        <w:trPr>
          <w:jc w:val="center"/>
        </w:trPr>
        <w:tc>
          <w:tcPr>
            <w:tcW w:w="2160" w:type="dxa"/>
            <w:shd w:val="clear" w:color="auto" w:fill="auto"/>
            <w:tcMar>
              <w:left w:w="0" w:type="dxa"/>
              <w:right w:w="0" w:type="dxa"/>
            </w:tcMar>
            <w:vAlign w:val="bottom"/>
          </w:tcPr>
          <w:p w14:paraId="7AA269F0" w14:textId="77777777" w:rsidR="008C5E97" w:rsidRDefault="008C5E97">
            <w:pPr>
              <w:pStyle w:val="BodyText"/>
              <w:tabs>
                <w:tab w:val="right" w:pos="8640"/>
              </w:tabs>
              <w:spacing w:after="0"/>
              <w:jc w:val="left"/>
              <w:rPr>
                <w:b/>
                <w:sz w:val="22"/>
              </w:rPr>
            </w:pPr>
          </w:p>
          <w:p w14:paraId="43C72681" w14:textId="77777777" w:rsidR="008C5E97" w:rsidRDefault="00896F58">
            <w:pPr>
              <w:pStyle w:val="BodyText"/>
              <w:tabs>
                <w:tab w:val="right" w:pos="8640"/>
              </w:tabs>
              <w:spacing w:after="0"/>
              <w:jc w:val="left"/>
              <w:rPr>
                <w:b/>
                <w:sz w:val="22"/>
              </w:rPr>
            </w:pPr>
            <w:r>
              <w:rPr>
                <w:b/>
                <w:bCs/>
                <w:sz w:val="22"/>
                <w:lang w:val="es-ES_tradnl"/>
              </w:rPr>
              <w:t>NOMBRE EN LETRA DE IMPRENTA:</w:t>
            </w:r>
          </w:p>
        </w:tc>
        <w:tc>
          <w:tcPr>
            <w:tcW w:w="5760" w:type="dxa"/>
            <w:tcBorders>
              <w:bottom w:val="single" w:sz="4" w:space="0" w:color="auto"/>
            </w:tcBorders>
            <w:shd w:val="clear" w:color="auto" w:fill="auto"/>
            <w:tcMar>
              <w:left w:w="0" w:type="dxa"/>
              <w:right w:w="0" w:type="dxa"/>
            </w:tcMar>
          </w:tcPr>
          <w:p w14:paraId="4A1D08B1" w14:textId="77777777" w:rsidR="008C5E97" w:rsidRDefault="008C5E97">
            <w:pPr>
              <w:pStyle w:val="BodyText"/>
              <w:tabs>
                <w:tab w:val="right" w:pos="8640"/>
              </w:tabs>
              <w:spacing w:after="0"/>
              <w:rPr>
                <w:b/>
                <w:sz w:val="22"/>
              </w:rPr>
            </w:pPr>
          </w:p>
        </w:tc>
      </w:tr>
      <w:tr w:rsidR="008C5E97" w14:paraId="7A07E8AC" w14:textId="77777777">
        <w:trPr>
          <w:jc w:val="center"/>
        </w:trPr>
        <w:tc>
          <w:tcPr>
            <w:tcW w:w="2160" w:type="dxa"/>
            <w:shd w:val="clear" w:color="auto" w:fill="auto"/>
            <w:tcMar>
              <w:left w:w="0" w:type="dxa"/>
              <w:right w:w="0" w:type="dxa"/>
            </w:tcMar>
            <w:vAlign w:val="bottom"/>
          </w:tcPr>
          <w:p w14:paraId="677608B5" w14:textId="77777777" w:rsidR="008C5E97" w:rsidRDefault="008C5E97">
            <w:pPr>
              <w:pStyle w:val="BodyText"/>
              <w:tabs>
                <w:tab w:val="right" w:pos="8640"/>
              </w:tabs>
              <w:spacing w:after="0"/>
              <w:jc w:val="left"/>
              <w:rPr>
                <w:b/>
                <w:sz w:val="22"/>
              </w:rPr>
            </w:pPr>
          </w:p>
          <w:p w14:paraId="3638EB8F" w14:textId="77777777" w:rsidR="008C5E97" w:rsidRDefault="00896F58">
            <w:pPr>
              <w:pStyle w:val="BodyText"/>
              <w:tabs>
                <w:tab w:val="right" w:pos="8640"/>
              </w:tabs>
              <w:spacing w:after="0"/>
              <w:jc w:val="left"/>
              <w:rPr>
                <w:b/>
                <w:sz w:val="22"/>
              </w:rPr>
            </w:pPr>
            <w:r>
              <w:rPr>
                <w:b/>
                <w:bCs/>
                <w:sz w:val="22"/>
                <w:lang w:val="es-ES_tradnl"/>
              </w:rPr>
              <w:t>FIRMA:</w:t>
            </w:r>
          </w:p>
        </w:tc>
        <w:tc>
          <w:tcPr>
            <w:tcW w:w="5760" w:type="dxa"/>
            <w:tcBorders>
              <w:bottom w:val="single" w:sz="4" w:space="0" w:color="auto"/>
            </w:tcBorders>
            <w:shd w:val="clear" w:color="auto" w:fill="auto"/>
            <w:tcMar>
              <w:left w:w="0" w:type="dxa"/>
              <w:right w:w="0" w:type="dxa"/>
            </w:tcMar>
          </w:tcPr>
          <w:p w14:paraId="40B1A4B1" w14:textId="77777777" w:rsidR="008C5E97" w:rsidRDefault="008C5E97">
            <w:pPr>
              <w:pStyle w:val="BodyText"/>
              <w:tabs>
                <w:tab w:val="right" w:pos="8640"/>
              </w:tabs>
              <w:spacing w:after="0"/>
              <w:rPr>
                <w:b/>
                <w:sz w:val="22"/>
              </w:rPr>
            </w:pPr>
          </w:p>
        </w:tc>
      </w:tr>
      <w:tr w:rsidR="008C5E97" w14:paraId="62B2CE85" w14:textId="77777777">
        <w:trPr>
          <w:jc w:val="center"/>
        </w:trPr>
        <w:tc>
          <w:tcPr>
            <w:tcW w:w="2160" w:type="dxa"/>
            <w:shd w:val="clear" w:color="auto" w:fill="auto"/>
            <w:tcMar>
              <w:left w:w="0" w:type="dxa"/>
              <w:right w:w="0" w:type="dxa"/>
            </w:tcMar>
            <w:vAlign w:val="bottom"/>
          </w:tcPr>
          <w:p w14:paraId="1C760E8A" w14:textId="77777777" w:rsidR="008C5E97" w:rsidRDefault="008C5E97">
            <w:pPr>
              <w:pStyle w:val="BodyText"/>
              <w:tabs>
                <w:tab w:val="right" w:pos="8640"/>
              </w:tabs>
              <w:spacing w:after="0"/>
              <w:jc w:val="left"/>
              <w:rPr>
                <w:b/>
                <w:sz w:val="22"/>
              </w:rPr>
            </w:pPr>
          </w:p>
          <w:p w14:paraId="781887F1" w14:textId="77777777" w:rsidR="008C5E97" w:rsidRDefault="00896F58">
            <w:pPr>
              <w:pStyle w:val="BodyText"/>
              <w:tabs>
                <w:tab w:val="right" w:pos="8640"/>
              </w:tabs>
              <w:spacing w:after="0"/>
              <w:jc w:val="left"/>
              <w:rPr>
                <w:b/>
                <w:sz w:val="22"/>
              </w:rPr>
            </w:pPr>
            <w:r>
              <w:rPr>
                <w:b/>
                <w:bCs/>
                <w:sz w:val="22"/>
                <w:lang w:val="es-ES_tradnl"/>
              </w:rPr>
              <w:t>DIRECCIÓN:</w:t>
            </w:r>
          </w:p>
        </w:tc>
        <w:tc>
          <w:tcPr>
            <w:tcW w:w="5760" w:type="dxa"/>
            <w:tcBorders>
              <w:bottom w:val="single" w:sz="4" w:space="0" w:color="auto"/>
            </w:tcBorders>
            <w:shd w:val="clear" w:color="auto" w:fill="auto"/>
            <w:tcMar>
              <w:left w:w="0" w:type="dxa"/>
              <w:right w:w="0" w:type="dxa"/>
            </w:tcMar>
          </w:tcPr>
          <w:p w14:paraId="60241126" w14:textId="77777777" w:rsidR="008C5E97" w:rsidRDefault="008C5E97">
            <w:pPr>
              <w:pStyle w:val="BodyText"/>
              <w:tabs>
                <w:tab w:val="right" w:pos="8640"/>
              </w:tabs>
              <w:spacing w:after="0"/>
              <w:rPr>
                <w:b/>
                <w:sz w:val="22"/>
              </w:rPr>
            </w:pPr>
          </w:p>
        </w:tc>
      </w:tr>
      <w:tr w:rsidR="008C5E97" w14:paraId="0B1D23A8" w14:textId="77777777">
        <w:trPr>
          <w:jc w:val="center"/>
        </w:trPr>
        <w:tc>
          <w:tcPr>
            <w:tcW w:w="2160" w:type="dxa"/>
            <w:shd w:val="clear" w:color="auto" w:fill="auto"/>
            <w:tcMar>
              <w:left w:w="0" w:type="dxa"/>
              <w:right w:w="0" w:type="dxa"/>
            </w:tcMar>
            <w:vAlign w:val="bottom"/>
          </w:tcPr>
          <w:p w14:paraId="00A9BDDB" w14:textId="77777777" w:rsidR="008C5E97" w:rsidRDefault="008C5E97">
            <w:pPr>
              <w:pStyle w:val="BodyText"/>
              <w:tabs>
                <w:tab w:val="right" w:pos="8640"/>
              </w:tabs>
              <w:spacing w:after="0"/>
              <w:jc w:val="left"/>
              <w:rPr>
                <w:b/>
                <w:sz w:val="22"/>
              </w:rPr>
            </w:pPr>
          </w:p>
          <w:p w14:paraId="0AE51F80" w14:textId="77777777" w:rsidR="008C5E97" w:rsidRDefault="008C5E97">
            <w:pPr>
              <w:pStyle w:val="BodyText"/>
              <w:tabs>
                <w:tab w:val="right" w:pos="8640"/>
              </w:tabs>
              <w:spacing w:after="0"/>
              <w:jc w:val="left"/>
              <w:rPr>
                <w:b/>
                <w:sz w:val="22"/>
              </w:rPr>
            </w:pPr>
          </w:p>
        </w:tc>
        <w:tc>
          <w:tcPr>
            <w:tcW w:w="5760" w:type="dxa"/>
            <w:tcBorders>
              <w:top w:val="single" w:sz="4" w:space="0" w:color="auto"/>
              <w:bottom w:val="single" w:sz="4" w:space="0" w:color="auto"/>
            </w:tcBorders>
            <w:shd w:val="clear" w:color="auto" w:fill="auto"/>
            <w:tcMar>
              <w:left w:w="0" w:type="dxa"/>
              <w:right w:w="0" w:type="dxa"/>
            </w:tcMar>
          </w:tcPr>
          <w:p w14:paraId="12F63A09" w14:textId="77777777" w:rsidR="008C5E97" w:rsidRDefault="008C5E97">
            <w:pPr>
              <w:pStyle w:val="BodyText"/>
              <w:tabs>
                <w:tab w:val="right" w:pos="8640"/>
              </w:tabs>
              <w:spacing w:after="0"/>
              <w:rPr>
                <w:b/>
                <w:sz w:val="22"/>
              </w:rPr>
            </w:pPr>
          </w:p>
        </w:tc>
      </w:tr>
      <w:tr w:rsidR="008C5E97" w14:paraId="3C04AC2F" w14:textId="77777777">
        <w:trPr>
          <w:jc w:val="center"/>
        </w:trPr>
        <w:tc>
          <w:tcPr>
            <w:tcW w:w="2160" w:type="dxa"/>
            <w:shd w:val="clear" w:color="auto" w:fill="auto"/>
            <w:tcMar>
              <w:left w:w="0" w:type="dxa"/>
              <w:right w:w="0" w:type="dxa"/>
            </w:tcMar>
            <w:vAlign w:val="bottom"/>
          </w:tcPr>
          <w:p w14:paraId="77ED9E96" w14:textId="77777777" w:rsidR="008C5E97" w:rsidRDefault="008C5E97">
            <w:pPr>
              <w:pStyle w:val="BodyText"/>
              <w:tabs>
                <w:tab w:val="right" w:pos="8640"/>
              </w:tabs>
              <w:spacing w:after="0"/>
              <w:jc w:val="left"/>
              <w:rPr>
                <w:b/>
                <w:sz w:val="22"/>
              </w:rPr>
            </w:pPr>
          </w:p>
          <w:p w14:paraId="71E9CBAD" w14:textId="77777777" w:rsidR="008C5E97" w:rsidRDefault="008C5E97">
            <w:pPr>
              <w:pStyle w:val="BodyText"/>
              <w:tabs>
                <w:tab w:val="right" w:pos="8640"/>
              </w:tabs>
              <w:spacing w:after="0"/>
              <w:jc w:val="left"/>
              <w:rPr>
                <w:b/>
                <w:sz w:val="22"/>
              </w:rPr>
            </w:pPr>
          </w:p>
        </w:tc>
        <w:tc>
          <w:tcPr>
            <w:tcW w:w="5760" w:type="dxa"/>
            <w:tcBorders>
              <w:top w:val="single" w:sz="4" w:space="0" w:color="auto"/>
              <w:bottom w:val="single" w:sz="8" w:space="0" w:color="000000" w:themeColor="text1"/>
            </w:tcBorders>
            <w:shd w:val="clear" w:color="auto" w:fill="auto"/>
            <w:tcMar>
              <w:left w:w="0" w:type="dxa"/>
              <w:right w:w="0" w:type="dxa"/>
            </w:tcMar>
          </w:tcPr>
          <w:p w14:paraId="313792BA" w14:textId="77777777" w:rsidR="008C5E97" w:rsidRDefault="008C5E97">
            <w:pPr>
              <w:pStyle w:val="BodyText"/>
              <w:tabs>
                <w:tab w:val="right" w:pos="8640"/>
              </w:tabs>
              <w:spacing w:after="0"/>
              <w:rPr>
                <w:b/>
                <w:sz w:val="22"/>
              </w:rPr>
            </w:pPr>
          </w:p>
        </w:tc>
      </w:tr>
      <w:tr w:rsidR="008C5E97" w14:paraId="7DB24A07" w14:textId="77777777">
        <w:trPr>
          <w:jc w:val="center"/>
        </w:trPr>
        <w:tc>
          <w:tcPr>
            <w:tcW w:w="2160" w:type="dxa"/>
            <w:shd w:val="clear" w:color="auto" w:fill="auto"/>
            <w:tcMar>
              <w:left w:w="0" w:type="dxa"/>
              <w:right w:w="0" w:type="dxa"/>
            </w:tcMar>
            <w:vAlign w:val="bottom"/>
          </w:tcPr>
          <w:p w14:paraId="1A4E4CE9" w14:textId="77777777" w:rsidR="008C5E97" w:rsidRDefault="008C5E97">
            <w:pPr>
              <w:pStyle w:val="BodyText"/>
              <w:tabs>
                <w:tab w:val="right" w:pos="8640"/>
              </w:tabs>
              <w:spacing w:after="0"/>
              <w:jc w:val="left"/>
              <w:rPr>
                <w:b/>
                <w:sz w:val="22"/>
              </w:rPr>
            </w:pPr>
          </w:p>
          <w:p w14:paraId="48E94536" w14:textId="77777777" w:rsidR="008C5E97" w:rsidRDefault="00896F58">
            <w:pPr>
              <w:pStyle w:val="BodyText"/>
              <w:tabs>
                <w:tab w:val="right" w:pos="8640"/>
              </w:tabs>
              <w:spacing w:after="0"/>
              <w:jc w:val="left"/>
              <w:rPr>
                <w:b/>
                <w:sz w:val="22"/>
              </w:rPr>
            </w:pPr>
            <w:r>
              <w:rPr>
                <w:b/>
                <w:bCs/>
                <w:sz w:val="22"/>
                <w:lang w:val="es-ES_tradnl"/>
              </w:rPr>
              <w:t>TELÉFONO:</w:t>
            </w:r>
          </w:p>
        </w:tc>
        <w:tc>
          <w:tcPr>
            <w:tcW w:w="5760" w:type="dxa"/>
            <w:tcBorders>
              <w:top w:val="single" w:sz="8" w:space="0" w:color="000000" w:themeColor="text1"/>
              <w:bottom w:val="single" w:sz="4" w:space="0" w:color="auto"/>
            </w:tcBorders>
            <w:shd w:val="clear" w:color="auto" w:fill="auto"/>
            <w:tcMar>
              <w:left w:w="0" w:type="dxa"/>
              <w:right w:w="0" w:type="dxa"/>
            </w:tcMar>
          </w:tcPr>
          <w:p w14:paraId="3810F5CB" w14:textId="77777777" w:rsidR="008C5E97" w:rsidRDefault="008C5E97">
            <w:pPr>
              <w:pStyle w:val="BodyText"/>
              <w:tabs>
                <w:tab w:val="right" w:pos="8640"/>
              </w:tabs>
              <w:spacing w:after="0"/>
              <w:rPr>
                <w:b/>
                <w:sz w:val="22"/>
              </w:rPr>
            </w:pPr>
          </w:p>
        </w:tc>
      </w:tr>
      <w:tr w:rsidR="008C5E97" w14:paraId="57ECFC22" w14:textId="77777777">
        <w:trPr>
          <w:jc w:val="center"/>
        </w:trPr>
        <w:tc>
          <w:tcPr>
            <w:tcW w:w="2160" w:type="dxa"/>
            <w:shd w:val="clear" w:color="auto" w:fill="auto"/>
            <w:tcMar>
              <w:left w:w="0" w:type="dxa"/>
              <w:right w:w="0" w:type="dxa"/>
            </w:tcMar>
            <w:vAlign w:val="bottom"/>
          </w:tcPr>
          <w:p w14:paraId="3BCEF437" w14:textId="77777777" w:rsidR="008C5E97" w:rsidRDefault="008C5E97">
            <w:pPr>
              <w:pStyle w:val="BodyText"/>
              <w:tabs>
                <w:tab w:val="right" w:pos="8640"/>
              </w:tabs>
              <w:spacing w:after="0"/>
              <w:jc w:val="left"/>
              <w:rPr>
                <w:b/>
                <w:sz w:val="22"/>
              </w:rPr>
            </w:pPr>
          </w:p>
          <w:p w14:paraId="0D7BBD9F" w14:textId="77777777" w:rsidR="008C5E97" w:rsidRDefault="00896F58">
            <w:pPr>
              <w:pStyle w:val="BodyText"/>
              <w:tabs>
                <w:tab w:val="right" w:pos="8640"/>
              </w:tabs>
              <w:spacing w:after="0"/>
              <w:jc w:val="left"/>
              <w:rPr>
                <w:b/>
                <w:sz w:val="22"/>
              </w:rPr>
            </w:pPr>
            <w:r>
              <w:rPr>
                <w:b/>
                <w:bCs/>
                <w:sz w:val="22"/>
                <w:lang w:val="es-ES_tradnl"/>
              </w:rPr>
              <w:t>CORREO ELECTRÓNICO:</w:t>
            </w:r>
          </w:p>
        </w:tc>
        <w:tc>
          <w:tcPr>
            <w:tcW w:w="5760" w:type="dxa"/>
            <w:tcBorders>
              <w:bottom w:val="single" w:sz="4" w:space="0" w:color="auto"/>
            </w:tcBorders>
            <w:shd w:val="clear" w:color="auto" w:fill="auto"/>
            <w:tcMar>
              <w:left w:w="0" w:type="dxa"/>
              <w:right w:w="0" w:type="dxa"/>
            </w:tcMar>
          </w:tcPr>
          <w:p w14:paraId="5F2635DB" w14:textId="77777777" w:rsidR="008C5E97" w:rsidRDefault="008C5E97">
            <w:pPr>
              <w:pStyle w:val="BodyText"/>
              <w:tabs>
                <w:tab w:val="right" w:pos="8640"/>
              </w:tabs>
              <w:spacing w:after="0"/>
              <w:rPr>
                <w:b/>
                <w:sz w:val="22"/>
              </w:rPr>
            </w:pPr>
          </w:p>
        </w:tc>
      </w:tr>
      <w:tr w:rsidR="008C5E97" w14:paraId="7B8F0375" w14:textId="77777777">
        <w:trPr>
          <w:jc w:val="center"/>
        </w:trPr>
        <w:tc>
          <w:tcPr>
            <w:tcW w:w="2160" w:type="dxa"/>
            <w:shd w:val="clear" w:color="auto" w:fill="auto"/>
            <w:tcMar>
              <w:left w:w="0" w:type="dxa"/>
              <w:right w:w="0" w:type="dxa"/>
            </w:tcMar>
            <w:vAlign w:val="bottom"/>
          </w:tcPr>
          <w:p w14:paraId="39917B92" w14:textId="77777777" w:rsidR="008C5E97" w:rsidRDefault="008C5E97">
            <w:pPr>
              <w:pStyle w:val="BodyText"/>
              <w:tabs>
                <w:tab w:val="right" w:pos="8640"/>
              </w:tabs>
              <w:spacing w:after="0"/>
              <w:jc w:val="left"/>
              <w:rPr>
                <w:b/>
                <w:sz w:val="22"/>
              </w:rPr>
            </w:pPr>
          </w:p>
          <w:p w14:paraId="1D3E5400" w14:textId="77777777" w:rsidR="008C5E97" w:rsidRDefault="00896F58">
            <w:pPr>
              <w:pStyle w:val="BodyText"/>
              <w:tabs>
                <w:tab w:val="right" w:pos="8640"/>
              </w:tabs>
              <w:spacing w:after="0"/>
              <w:jc w:val="left"/>
              <w:rPr>
                <w:b/>
                <w:sz w:val="22"/>
              </w:rPr>
            </w:pPr>
            <w:r>
              <w:rPr>
                <w:b/>
                <w:bCs/>
                <w:sz w:val="22"/>
                <w:lang w:val="es-ES_tradnl"/>
              </w:rPr>
              <w:t>CON FECHA DEL:</w:t>
            </w:r>
          </w:p>
        </w:tc>
        <w:tc>
          <w:tcPr>
            <w:tcW w:w="5760" w:type="dxa"/>
            <w:tcBorders>
              <w:bottom w:val="single" w:sz="4" w:space="0" w:color="auto"/>
            </w:tcBorders>
            <w:shd w:val="clear" w:color="auto" w:fill="auto"/>
            <w:tcMar>
              <w:left w:w="0" w:type="dxa"/>
              <w:right w:w="0" w:type="dxa"/>
            </w:tcMar>
          </w:tcPr>
          <w:p w14:paraId="7B29542C" w14:textId="77777777" w:rsidR="008C5E97" w:rsidRDefault="008C5E97">
            <w:pPr>
              <w:pStyle w:val="BodyText"/>
              <w:tabs>
                <w:tab w:val="right" w:pos="8640"/>
              </w:tabs>
              <w:spacing w:after="0"/>
              <w:rPr>
                <w:b/>
                <w:sz w:val="22"/>
              </w:rPr>
            </w:pPr>
          </w:p>
        </w:tc>
      </w:tr>
    </w:tbl>
    <w:p w14:paraId="388499DD" w14:textId="77777777" w:rsidR="008C5E97" w:rsidRDefault="008C5E97">
      <w:pPr>
        <w:rPr>
          <w:sz w:val="22"/>
        </w:rPr>
      </w:pPr>
    </w:p>
    <w:sectPr w:rsidR="008C5E97">
      <w:footerReference w:type="default" r:id="rId7"/>
      <w:footerReference w:type="first" r:id="rId8"/>
      <w:pgSz w:w="12240" w:h="15840" w:code="1"/>
      <w:pgMar w:top="1296" w:right="1440" w:bottom="1152"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303E" w14:textId="77777777" w:rsidR="008C5E97" w:rsidRDefault="00896F58">
      <w:r>
        <w:separator/>
      </w:r>
    </w:p>
  </w:endnote>
  <w:endnote w:type="continuationSeparator" w:id="0">
    <w:p w14:paraId="5DE83268" w14:textId="77777777" w:rsidR="008C5E97" w:rsidRDefault="0089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87541210"/>
      <w:docPartObj>
        <w:docPartGallery w:val="Page Numbers (Bottom of Page)"/>
        <w:docPartUnique/>
      </w:docPartObj>
    </w:sdtPr>
    <w:sdtEndPr/>
    <w:sdtContent>
      <w:p w14:paraId="22A240A5" w14:textId="77777777" w:rsidR="008C5E97" w:rsidRDefault="00896F58">
        <w:pPr>
          <w:tabs>
            <w:tab w:val="right" w:pos="9360"/>
          </w:tabs>
          <w:jc w:val="center"/>
          <w:rPr>
            <w:sz w:val="22"/>
          </w:rPr>
        </w:pPr>
        <w:r>
          <w:rPr>
            <w:sz w:val="22"/>
          </w:rPr>
          <w:t>Questions? Visit www.vwpclassaction.com or call 1-855-961-0959</w:t>
        </w:r>
        <w:r>
          <w:rPr>
            <w:sz w:val="22"/>
          </w:rPr>
          <w:tab/>
          <w:t xml:space="preserve">Page </w:t>
        </w:r>
        <w:r>
          <w:rPr>
            <w:sz w:val="22"/>
          </w:rPr>
          <w:fldChar w:fldCharType="begin"/>
        </w:r>
        <w:r>
          <w:rPr>
            <w:sz w:val="22"/>
          </w:rPr>
          <w:instrText xml:space="preserve"> PAGE   \* MERGEFORMAT </w:instrText>
        </w:r>
        <w:r>
          <w:rPr>
            <w:sz w:val="22"/>
          </w:rPr>
          <w:fldChar w:fldCharType="separate"/>
        </w:r>
        <w:r>
          <w:rPr>
            <w:noProof/>
            <w:sz w:val="22"/>
          </w:rPr>
          <w:t>3</w:t>
        </w:r>
        <w:r>
          <w:rPr>
            <w:sz w:val="22"/>
          </w:rPr>
          <w:fldChar w:fldCharType="end"/>
        </w:r>
        <w:r>
          <w:rPr>
            <w:sz w:val="22"/>
          </w:rPr>
          <w:t xml:space="preserve"> </w:t>
        </w:r>
      </w:p>
    </w:sdtContent>
  </w:sdt>
  <w:p w14:paraId="4596B2F6" w14:textId="77777777" w:rsidR="008C5E97" w:rsidRDefault="008C5E97">
    <w:pPr>
      <w:pStyle w:val="Footer"/>
      <w:tabs>
        <w:tab w:val="clear" w:pos="4680"/>
      </w:tabs>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50CC" w14:textId="77777777" w:rsidR="008C5E97" w:rsidRDefault="008C5E97">
    <w:pPr>
      <w:pStyle w:val="Footer"/>
      <w:tabs>
        <w:tab w:val="clear" w:pos="4680"/>
      </w:tabs>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F7E96" w14:textId="77777777" w:rsidR="008C5E97" w:rsidRDefault="00896F58">
      <w:r>
        <w:separator/>
      </w:r>
    </w:p>
  </w:footnote>
  <w:footnote w:type="continuationSeparator" w:id="0">
    <w:p w14:paraId="18BEBC37" w14:textId="77777777" w:rsidR="008C5E97" w:rsidRDefault="00896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3394623"/>
    <w:multiLevelType w:val="hybridMultilevel"/>
    <w:tmpl w:val="F70879C4"/>
    <w:lvl w:ilvl="0" w:tplc="65725E0A">
      <w:start w:val="1"/>
      <w:numFmt w:val="bullet"/>
      <w:lvlText w:val=""/>
      <w:lvlJc w:val="left"/>
      <w:pPr>
        <w:ind w:left="720" w:hanging="360"/>
      </w:pPr>
      <w:rPr>
        <w:rFonts w:ascii="Symbol" w:hAnsi="Symbol" w:hint="default"/>
      </w:rPr>
    </w:lvl>
    <w:lvl w:ilvl="1" w:tplc="F9F601EE" w:tentative="1">
      <w:start w:val="1"/>
      <w:numFmt w:val="bullet"/>
      <w:lvlText w:val="o"/>
      <w:lvlJc w:val="left"/>
      <w:pPr>
        <w:ind w:left="1440" w:hanging="360"/>
      </w:pPr>
      <w:rPr>
        <w:rFonts w:ascii="Courier New" w:hAnsi="Courier New" w:cs="Courier New" w:hint="default"/>
      </w:rPr>
    </w:lvl>
    <w:lvl w:ilvl="2" w:tplc="810AE2F8" w:tentative="1">
      <w:start w:val="1"/>
      <w:numFmt w:val="bullet"/>
      <w:lvlText w:val=""/>
      <w:lvlJc w:val="left"/>
      <w:pPr>
        <w:ind w:left="2160" w:hanging="360"/>
      </w:pPr>
      <w:rPr>
        <w:rFonts w:ascii="Wingdings" w:hAnsi="Wingdings" w:hint="default"/>
      </w:rPr>
    </w:lvl>
    <w:lvl w:ilvl="3" w:tplc="0AE8C6FC" w:tentative="1">
      <w:start w:val="1"/>
      <w:numFmt w:val="bullet"/>
      <w:lvlText w:val=""/>
      <w:lvlJc w:val="left"/>
      <w:pPr>
        <w:ind w:left="2880" w:hanging="360"/>
      </w:pPr>
      <w:rPr>
        <w:rFonts w:ascii="Symbol" w:hAnsi="Symbol" w:hint="default"/>
      </w:rPr>
    </w:lvl>
    <w:lvl w:ilvl="4" w:tplc="41500930" w:tentative="1">
      <w:start w:val="1"/>
      <w:numFmt w:val="bullet"/>
      <w:lvlText w:val="o"/>
      <w:lvlJc w:val="left"/>
      <w:pPr>
        <w:ind w:left="3600" w:hanging="360"/>
      </w:pPr>
      <w:rPr>
        <w:rFonts w:ascii="Courier New" w:hAnsi="Courier New" w:cs="Courier New" w:hint="default"/>
      </w:rPr>
    </w:lvl>
    <w:lvl w:ilvl="5" w:tplc="E2C2B736" w:tentative="1">
      <w:start w:val="1"/>
      <w:numFmt w:val="bullet"/>
      <w:lvlText w:val=""/>
      <w:lvlJc w:val="left"/>
      <w:pPr>
        <w:ind w:left="4320" w:hanging="360"/>
      </w:pPr>
      <w:rPr>
        <w:rFonts w:ascii="Wingdings" w:hAnsi="Wingdings" w:hint="default"/>
      </w:rPr>
    </w:lvl>
    <w:lvl w:ilvl="6" w:tplc="495478F2" w:tentative="1">
      <w:start w:val="1"/>
      <w:numFmt w:val="bullet"/>
      <w:lvlText w:val=""/>
      <w:lvlJc w:val="left"/>
      <w:pPr>
        <w:ind w:left="5040" w:hanging="360"/>
      </w:pPr>
      <w:rPr>
        <w:rFonts w:ascii="Symbol" w:hAnsi="Symbol" w:hint="default"/>
      </w:rPr>
    </w:lvl>
    <w:lvl w:ilvl="7" w:tplc="7CE4C6EC" w:tentative="1">
      <w:start w:val="1"/>
      <w:numFmt w:val="bullet"/>
      <w:lvlText w:val="o"/>
      <w:lvlJc w:val="left"/>
      <w:pPr>
        <w:ind w:left="5760" w:hanging="360"/>
      </w:pPr>
      <w:rPr>
        <w:rFonts w:ascii="Courier New" w:hAnsi="Courier New" w:cs="Courier New" w:hint="default"/>
      </w:rPr>
    </w:lvl>
    <w:lvl w:ilvl="8" w:tplc="05FA9308" w:tentative="1">
      <w:start w:val="1"/>
      <w:numFmt w:val="bullet"/>
      <w:lvlText w:val=""/>
      <w:lvlJc w:val="left"/>
      <w:pPr>
        <w:ind w:left="6480" w:hanging="360"/>
      </w:pPr>
      <w:rPr>
        <w:rFonts w:ascii="Wingdings" w:hAnsi="Wingdings" w:hint="default"/>
      </w:rPr>
    </w:lvl>
  </w:abstractNum>
  <w:abstractNum w:abstractNumId="11" w15:restartNumberingAfterBreak="0">
    <w:nsid w:val="5BDE1781"/>
    <w:multiLevelType w:val="hybridMultilevel"/>
    <w:tmpl w:val="B9A0C02A"/>
    <w:lvl w:ilvl="0" w:tplc="A6049A6A">
      <w:start w:val="1"/>
      <w:numFmt w:val="bullet"/>
      <w:lvlText w:val=""/>
      <w:lvlJc w:val="left"/>
      <w:pPr>
        <w:ind w:left="720" w:hanging="360"/>
      </w:pPr>
      <w:rPr>
        <w:rFonts w:ascii="Symbol" w:hAnsi="Symbol" w:hint="default"/>
      </w:rPr>
    </w:lvl>
    <w:lvl w:ilvl="1" w:tplc="4B3C9D3C" w:tentative="1">
      <w:start w:val="1"/>
      <w:numFmt w:val="bullet"/>
      <w:lvlText w:val="o"/>
      <w:lvlJc w:val="left"/>
      <w:pPr>
        <w:ind w:left="1440" w:hanging="360"/>
      </w:pPr>
      <w:rPr>
        <w:rFonts w:ascii="Courier New" w:hAnsi="Courier New" w:cs="Courier New" w:hint="default"/>
      </w:rPr>
    </w:lvl>
    <w:lvl w:ilvl="2" w:tplc="91726ED4" w:tentative="1">
      <w:start w:val="1"/>
      <w:numFmt w:val="bullet"/>
      <w:lvlText w:val=""/>
      <w:lvlJc w:val="left"/>
      <w:pPr>
        <w:ind w:left="2160" w:hanging="360"/>
      </w:pPr>
      <w:rPr>
        <w:rFonts w:ascii="Wingdings" w:hAnsi="Wingdings" w:hint="default"/>
      </w:rPr>
    </w:lvl>
    <w:lvl w:ilvl="3" w:tplc="32B6C5FE" w:tentative="1">
      <w:start w:val="1"/>
      <w:numFmt w:val="bullet"/>
      <w:lvlText w:val=""/>
      <w:lvlJc w:val="left"/>
      <w:pPr>
        <w:ind w:left="2880" w:hanging="360"/>
      </w:pPr>
      <w:rPr>
        <w:rFonts w:ascii="Symbol" w:hAnsi="Symbol" w:hint="default"/>
      </w:rPr>
    </w:lvl>
    <w:lvl w:ilvl="4" w:tplc="16008708" w:tentative="1">
      <w:start w:val="1"/>
      <w:numFmt w:val="bullet"/>
      <w:lvlText w:val="o"/>
      <w:lvlJc w:val="left"/>
      <w:pPr>
        <w:ind w:left="3600" w:hanging="360"/>
      </w:pPr>
      <w:rPr>
        <w:rFonts w:ascii="Courier New" w:hAnsi="Courier New" w:cs="Courier New" w:hint="default"/>
      </w:rPr>
    </w:lvl>
    <w:lvl w:ilvl="5" w:tplc="D742905A" w:tentative="1">
      <w:start w:val="1"/>
      <w:numFmt w:val="bullet"/>
      <w:lvlText w:val=""/>
      <w:lvlJc w:val="left"/>
      <w:pPr>
        <w:ind w:left="4320" w:hanging="360"/>
      </w:pPr>
      <w:rPr>
        <w:rFonts w:ascii="Wingdings" w:hAnsi="Wingdings" w:hint="default"/>
      </w:rPr>
    </w:lvl>
    <w:lvl w:ilvl="6" w:tplc="6D6EB74E" w:tentative="1">
      <w:start w:val="1"/>
      <w:numFmt w:val="bullet"/>
      <w:lvlText w:val=""/>
      <w:lvlJc w:val="left"/>
      <w:pPr>
        <w:ind w:left="5040" w:hanging="360"/>
      </w:pPr>
      <w:rPr>
        <w:rFonts w:ascii="Symbol" w:hAnsi="Symbol" w:hint="default"/>
      </w:rPr>
    </w:lvl>
    <w:lvl w:ilvl="7" w:tplc="D9B46D62" w:tentative="1">
      <w:start w:val="1"/>
      <w:numFmt w:val="bullet"/>
      <w:lvlText w:val="o"/>
      <w:lvlJc w:val="left"/>
      <w:pPr>
        <w:ind w:left="5760" w:hanging="360"/>
      </w:pPr>
      <w:rPr>
        <w:rFonts w:ascii="Courier New" w:hAnsi="Courier New" w:cs="Courier New" w:hint="default"/>
      </w:rPr>
    </w:lvl>
    <w:lvl w:ilvl="8" w:tplc="A776F820"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E97"/>
    <w:rsid w:val="00896F58"/>
    <w:rsid w:val="008C5E97"/>
    <w:rsid w:val="00980B16"/>
    <w:rsid w:val="00D81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77320"/>
  <w15:docId w15:val="{F4FBF697-80A8-4DF6-B35B-BAA04425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cs="Times New Roman"/>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ListNumber5">
    <w:name w:val="List Number 5"/>
    <w:basedOn w:val="Normal"/>
    <w:uiPriority w:val="9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Cs w:val="24"/>
      <w:shd w:val="pct20" w:color="auto" w:fill="auto"/>
    </w:rPr>
  </w:style>
  <w:style w:type="paragraph" w:styleId="NoSpacing">
    <w:name w:val="No Spacing"/>
    <w:uiPriority w:val="1"/>
    <w:qFormat/>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customStyle="1" w:styleId="NoteHeading1">
    <w:name w:val="Note Heading1"/>
    <w:basedOn w:val="Normal"/>
    <w:next w:val="Normal"/>
    <w:link w:val="NoteHeadingChar"/>
    <w:uiPriority w:val="99"/>
    <w:semiHidden/>
    <w:unhideWhenUsed/>
  </w:style>
  <w:style w:type="character" w:customStyle="1" w:styleId="NoteHeadingChar">
    <w:name w:val="Note Heading Char"/>
    <w:basedOn w:val="DefaultParagraphFont"/>
    <w:link w:val="NoteHeading1"/>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40"/>
    </w:pPr>
  </w:style>
  <w:style w:type="paragraph" w:styleId="TOC3">
    <w:name w:val="toc 3"/>
    <w:basedOn w:val="Normal"/>
    <w:next w:val="Normal"/>
    <w:autoRedefine/>
    <w:uiPriority w:val="39"/>
    <w:semiHidden/>
    <w:unhideWhenUsed/>
    <w:pPr>
      <w:spacing w:after="100"/>
      <w:ind w:left="480"/>
    </w:pPr>
  </w:style>
  <w:style w:type="paragraph" w:styleId="TOC4">
    <w:name w:val="toc 4"/>
    <w:basedOn w:val="Normal"/>
    <w:next w:val="Normal"/>
    <w:autoRedefine/>
    <w:uiPriority w:val="39"/>
    <w:semiHidden/>
    <w:unhideWhenUsed/>
    <w:pPr>
      <w:spacing w:after="100"/>
      <w:ind w:left="720"/>
    </w:pPr>
  </w:style>
  <w:style w:type="paragraph" w:styleId="TOC5">
    <w:name w:val="toc 5"/>
    <w:basedOn w:val="Normal"/>
    <w:next w:val="Normal"/>
    <w:autoRedefine/>
    <w:uiPriority w:val="39"/>
    <w:semiHidden/>
    <w:unhideWhenUsed/>
    <w:pPr>
      <w:spacing w:after="100"/>
      <w:ind w:left="960"/>
    </w:pPr>
  </w:style>
  <w:style w:type="paragraph" w:styleId="TOC6">
    <w:name w:val="toc 6"/>
    <w:basedOn w:val="Normal"/>
    <w:next w:val="Normal"/>
    <w:autoRedefine/>
    <w:uiPriority w:val="39"/>
    <w:semiHidden/>
    <w:unhideWhenUsed/>
    <w:pPr>
      <w:spacing w:after="100"/>
      <w:ind w:left="1200"/>
    </w:pPr>
  </w:style>
  <w:style w:type="paragraph" w:styleId="TOC7">
    <w:name w:val="toc 7"/>
    <w:basedOn w:val="Normal"/>
    <w:next w:val="Normal"/>
    <w:autoRedefine/>
    <w:uiPriority w:val="39"/>
    <w:semiHidden/>
    <w:unhideWhenUsed/>
    <w:pPr>
      <w:spacing w:after="100"/>
      <w:ind w:left="1440"/>
    </w:pPr>
  </w:style>
  <w:style w:type="paragraph" w:styleId="TOC8">
    <w:name w:val="toc 8"/>
    <w:basedOn w:val="Normal"/>
    <w:next w:val="Normal"/>
    <w:autoRedefine/>
    <w:uiPriority w:val="39"/>
    <w:semiHidden/>
    <w:unhideWhenUsed/>
    <w:pPr>
      <w:spacing w:after="100"/>
      <w:ind w:left="1680"/>
    </w:pPr>
  </w:style>
  <w:style w:type="paragraph" w:styleId="TOC9">
    <w:name w:val="toc 9"/>
    <w:basedOn w:val="Normal"/>
    <w:next w:val="Normal"/>
    <w:autoRedefine/>
    <w:uiPriority w:val="39"/>
    <w:semiHidden/>
    <w:unhideWhenUsed/>
    <w:pPr>
      <w:spacing w:after="100"/>
      <w:ind w:left="1920"/>
    </w:p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rPr>
      <w:color w:val="0000FF"/>
      <w:u w:val="single"/>
    </w:rPr>
  </w:style>
  <w:style w:type="table" w:styleId="LightList">
    <w:name w:val="Light List"/>
    <w:basedOn w:val="TableNormal"/>
    <w:uiPriority w:val="61"/>
    <w:rPr>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1871</Words>
  <Characters>10521</Characters>
  <Application>Microsoft Office Word</Application>
  <DocSecurity>0</DocSecurity>
  <Lines>191</Lines>
  <Paragraphs>45</Paragraphs>
  <ScaleCrop>false</ScaleCrop>
  <HeadingPairs>
    <vt:vector size="2" baseType="variant">
      <vt:variant>
        <vt:lpstr>Title</vt:lpstr>
      </vt:variant>
      <vt:variant>
        <vt:i4>1</vt:i4>
      </vt:variant>
    </vt:vector>
  </HeadingPairs>
  <TitlesOfParts>
    <vt:vector size="1" baseType="lpstr">
      <vt:lpstr/>
    </vt:vector>
  </TitlesOfParts>
  <Company>Schroeter Goldmark &amp; Bender</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Whitehead, Jamal</dc:creator>
  <cp:lastModifiedBy>Weintraub, Terri</cp:lastModifiedBy>
  <cp:revision>2</cp:revision>
  <dcterms:created xsi:type="dcterms:W3CDTF">2021-11-16T20:55:00Z</dcterms:created>
  <dcterms:modified xsi:type="dcterms:W3CDTF">2021-11-16T20:55:00Z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